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67941" w14:textId="77777777" w:rsidR="00770BE4" w:rsidRDefault="00770BE4" w:rsidP="004B1EDA">
      <w:pPr>
        <w:jc w:val="both"/>
        <w:rPr>
          <w:b/>
        </w:rPr>
      </w:pPr>
      <w:bookmarkStart w:id="0" w:name="_Hlk59291021"/>
      <w:bookmarkStart w:id="1" w:name="_Hlk108077799"/>
      <w:bookmarkStart w:id="2" w:name="_Hlk121763206"/>
    </w:p>
    <w:bookmarkEnd w:id="0"/>
    <w:p w14:paraId="787FB0D3" w14:textId="00E54125" w:rsidR="00F26768" w:rsidRPr="00F26768" w:rsidRDefault="00F26768" w:rsidP="00F26768">
      <w:pPr>
        <w:jc w:val="both"/>
        <w:rPr>
          <w:bCs/>
          <w:lang w:val="en-GB"/>
        </w:rPr>
      </w:pPr>
      <w:r>
        <w:rPr>
          <w:b/>
          <w:lang w:val="en-GB"/>
        </w:rPr>
        <w:t>Vintage</w:t>
      </w:r>
      <w:r w:rsidRPr="00F26768">
        <w:rPr>
          <w:b/>
          <w:lang w:val="en-GB"/>
        </w:rPr>
        <w:t xml:space="preserve"> 2022 </w:t>
      </w:r>
      <w:r w:rsidRPr="00F26768">
        <w:rPr>
          <w:bCs/>
          <w:lang w:val="en-GB"/>
        </w:rPr>
        <w:t xml:space="preserve">– </w:t>
      </w:r>
      <w:r w:rsidR="00E80C7D">
        <w:rPr>
          <w:bCs/>
          <w:lang w:val="en-GB"/>
        </w:rPr>
        <w:t>Wine year</w:t>
      </w:r>
      <w:r w:rsidRPr="00F26768">
        <w:rPr>
          <w:bCs/>
          <w:lang w:val="en-GB"/>
        </w:rPr>
        <w:t xml:space="preserve"> 852 from the monastic </w:t>
      </w:r>
      <w:r w:rsidR="00E80C7D">
        <w:rPr>
          <w:bCs/>
          <w:lang w:val="en-GB"/>
        </w:rPr>
        <w:t>estate</w:t>
      </w:r>
      <w:r w:rsidRPr="00F26768">
        <w:rPr>
          <w:bCs/>
          <w:lang w:val="en-GB"/>
        </w:rPr>
        <w:t xml:space="preserve">. The Corona crisis is being replaced by the Ukraine crisis. Once again, our wine year was quite the opposite of many other wine-growing regions in Europe. The winter and spring were characterized by drought. As a result, </w:t>
      </w:r>
      <w:r w:rsidR="00E80C7D">
        <w:rPr>
          <w:bCs/>
          <w:lang w:val="en-GB"/>
        </w:rPr>
        <w:t>bud break was</w:t>
      </w:r>
      <w:r w:rsidRPr="00F26768">
        <w:rPr>
          <w:bCs/>
          <w:lang w:val="en-GB"/>
        </w:rPr>
        <w:t xml:space="preserve"> very late and meant that we were spared </w:t>
      </w:r>
      <w:r w:rsidR="00E80C7D">
        <w:rPr>
          <w:bCs/>
          <w:lang w:val="en-GB"/>
        </w:rPr>
        <w:t xml:space="preserve">of </w:t>
      </w:r>
      <w:r w:rsidRPr="00F26768">
        <w:rPr>
          <w:bCs/>
          <w:lang w:val="en-GB"/>
        </w:rPr>
        <w:t>late frost. From May onwards, precipitation increases gradually and reaches its peak of 135mm in July. While droughts in Spain, France and Germany are worrying winegrowers, we have enough precipitation here – maybe even a bit too much, as the precipitation leads to increased fungal pressure. The vineyards could be kept healthy through great effort. From August onwards, the precipitation then decreases again. From mid-September, the precipitation stops completely and we experience a wonderful Indian summer and an above-average warm October.</w:t>
      </w:r>
    </w:p>
    <w:p w14:paraId="354083F1" w14:textId="55AF9646" w:rsidR="003530EF" w:rsidRPr="00F26768" w:rsidRDefault="00F26768" w:rsidP="00F26768">
      <w:pPr>
        <w:jc w:val="both"/>
        <w:rPr>
          <w:rFonts w:asciiTheme="minorHAnsi" w:eastAsiaTheme="minorHAnsi" w:hAnsiTheme="minorHAnsi" w:cstheme="minorBidi"/>
          <w:sz w:val="22"/>
          <w:szCs w:val="22"/>
          <w:lang w:val="en-GB" w:eastAsia="en-US"/>
        </w:rPr>
      </w:pPr>
      <w:r w:rsidRPr="00F26768">
        <w:rPr>
          <w:bCs/>
          <w:lang w:val="en-GB"/>
        </w:rPr>
        <w:t>The harvest began on Sep 11</w:t>
      </w:r>
      <w:r w:rsidRPr="00E80C7D">
        <w:rPr>
          <w:bCs/>
          <w:vertAlign w:val="superscript"/>
          <w:lang w:val="en-GB"/>
        </w:rPr>
        <w:t>th</w:t>
      </w:r>
      <w:r w:rsidRPr="00F26768">
        <w:rPr>
          <w:bCs/>
          <w:lang w:val="en-GB"/>
        </w:rPr>
        <w:t xml:space="preserve"> with the harvest for the Brut Rosé, Blanc de Blancs and Brut Reserve. The grapes for the rosé are harvested at the end of September and the red wine grapes are harvested on October 2</w:t>
      </w:r>
      <w:r w:rsidRPr="00E80C7D">
        <w:rPr>
          <w:bCs/>
          <w:vertAlign w:val="superscript"/>
          <w:lang w:val="en-GB"/>
        </w:rPr>
        <w:t>nd</w:t>
      </w:r>
      <w:r w:rsidRPr="00F26768">
        <w:rPr>
          <w:bCs/>
          <w:lang w:val="en-GB"/>
        </w:rPr>
        <w:t>. The regional wines, local wines and, from the last week of October, the vineyard wines are then gradually harvested. We think that the vintage will be somewhat heterogeneous, since the character of the wines will depend heavily on the decisions made in the vineyard and on the question of when the harvest takes place. We were able to complete the grape harvest on November 8</w:t>
      </w:r>
      <w:r w:rsidRPr="00E80C7D">
        <w:rPr>
          <w:bCs/>
          <w:vertAlign w:val="superscript"/>
          <w:lang w:val="en-GB"/>
        </w:rPr>
        <w:t>th</w:t>
      </w:r>
      <w:r w:rsidRPr="00F26768">
        <w:rPr>
          <w:bCs/>
          <w:lang w:val="en-GB"/>
        </w:rPr>
        <w:t xml:space="preserve">. An ice wine could be read on </w:t>
      </w:r>
      <w:proofErr w:type="spellStart"/>
      <w:r w:rsidRPr="00F26768">
        <w:rPr>
          <w:bCs/>
          <w:lang w:val="en-GB"/>
        </w:rPr>
        <w:t>xxxx</w:t>
      </w:r>
      <w:proofErr w:type="spellEnd"/>
      <w:r w:rsidRPr="00F26768">
        <w:rPr>
          <w:bCs/>
          <w:lang w:val="en-GB"/>
        </w:rPr>
        <w:t>. The harvest quantities are medium (60 hl/ha).</w:t>
      </w:r>
      <w:r w:rsidR="00053A28">
        <w:fldChar w:fldCharType="begin"/>
      </w:r>
      <w:r w:rsidR="00053A28" w:rsidRPr="00F26768">
        <w:rPr>
          <w:lang w:val="en-GB"/>
        </w:rPr>
        <w:instrText xml:space="preserve"> LINK </w:instrText>
      </w:r>
      <w:r w:rsidR="00A51615" w:rsidRPr="00F26768">
        <w:rPr>
          <w:lang w:val="en-GB"/>
        </w:rPr>
        <w:instrText xml:space="preserve">Excel.Sheet.12 "\\\\FSERVER\\mm\\D-Produktion\\Weingarten\\Wetter\\Jhrg 2022 Wetterdaten Nov 22.xlsx" ag-grid!Z1S1:Z14S7 </w:instrText>
      </w:r>
      <w:r w:rsidR="00053A28" w:rsidRPr="00F26768">
        <w:rPr>
          <w:lang w:val="en-GB"/>
        </w:rPr>
        <w:instrText xml:space="preserve">\a \f 4 \h </w:instrText>
      </w:r>
      <w:r w:rsidR="00CF4CE6" w:rsidRPr="00F26768">
        <w:rPr>
          <w:lang w:val="en-GB"/>
        </w:rPr>
        <w:instrText xml:space="preserve"> \* MERGEFORMAT </w:instrText>
      </w:r>
      <w:r w:rsidR="00053A28">
        <w:fldChar w:fldCharType="separate"/>
      </w:r>
    </w:p>
    <w:tbl>
      <w:tblPr>
        <w:tblW w:w="9097" w:type="dxa"/>
        <w:tblCellMar>
          <w:left w:w="70" w:type="dxa"/>
          <w:right w:w="70" w:type="dxa"/>
        </w:tblCellMar>
        <w:tblLook w:val="04A0" w:firstRow="1" w:lastRow="0" w:firstColumn="1" w:lastColumn="0" w:noHBand="0" w:noVBand="1"/>
      </w:tblPr>
      <w:tblGrid>
        <w:gridCol w:w="632"/>
        <w:gridCol w:w="1410"/>
        <w:gridCol w:w="1411"/>
        <w:gridCol w:w="1411"/>
        <w:gridCol w:w="1411"/>
        <w:gridCol w:w="1411"/>
        <w:gridCol w:w="1411"/>
      </w:tblGrid>
      <w:tr w:rsidR="003530EF" w:rsidRPr="003530EF" w14:paraId="68815215" w14:textId="77777777" w:rsidTr="003530EF">
        <w:trPr>
          <w:divId w:val="1220168188"/>
          <w:trHeight w:val="648"/>
        </w:trPr>
        <w:tc>
          <w:tcPr>
            <w:tcW w:w="632" w:type="dxa"/>
            <w:tcBorders>
              <w:top w:val="nil"/>
              <w:left w:val="nil"/>
              <w:bottom w:val="nil"/>
              <w:right w:val="nil"/>
            </w:tcBorders>
            <w:shd w:val="clear" w:color="auto" w:fill="auto"/>
            <w:noWrap/>
            <w:vAlign w:val="bottom"/>
            <w:hideMark/>
          </w:tcPr>
          <w:p w14:paraId="6BE52282" w14:textId="66E689C7" w:rsidR="003530EF" w:rsidRPr="00F26768" w:rsidRDefault="003530EF" w:rsidP="003530EF">
            <w:pPr>
              <w:spacing w:line="240" w:lineRule="auto"/>
              <w:outlineLvl w:val="9"/>
              <w:rPr>
                <w:rFonts w:ascii="Times New Roman" w:hAnsi="Times New Roman"/>
                <w:sz w:val="24"/>
                <w:szCs w:val="24"/>
                <w:lang w:val="en-GB" w:eastAsia="de-AT"/>
              </w:rPr>
            </w:pPr>
          </w:p>
        </w:tc>
        <w:tc>
          <w:tcPr>
            <w:tcW w:w="1410" w:type="dxa"/>
            <w:tcBorders>
              <w:top w:val="nil"/>
              <w:left w:val="nil"/>
              <w:bottom w:val="nil"/>
              <w:right w:val="nil"/>
            </w:tcBorders>
            <w:shd w:val="clear" w:color="auto" w:fill="auto"/>
            <w:noWrap/>
            <w:vAlign w:val="center"/>
            <w:hideMark/>
          </w:tcPr>
          <w:p w14:paraId="5069BDC0" w14:textId="1A663385" w:rsidR="003530EF" w:rsidRPr="003530EF" w:rsidRDefault="003530EF" w:rsidP="00E80C7D">
            <w:pPr>
              <w:spacing w:line="240" w:lineRule="auto"/>
              <w:jc w:val="center"/>
              <w:outlineLvl w:val="9"/>
              <w:rPr>
                <w:rFonts w:cs="Calibri"/>
                <w:b/>
                <w:bCs/>
                <w:color w:val="000000"/>
                <w:lang w:val="de-AT" w:eastAsia="de-AT"/>
              </w:rPr>
            </w:pPr>
            <w:proofErr w:type="spellStart"/>
            <w:r w:rsidRPr="003530EF">
              <w:rPr>
                <w:rFonts w:cs="Calibri"/>
                <w:b/>
                <w:bCs/>
                <w:color w:val="000000"/>
                <w:lang w:val="de-AT" w:eastAsia="de-AT"/>
              </w:rPr>
              <w:t>Precipitation</w:t>
            </w:r>
            <w:proofErr w:type="spellEnd"/>
            <w:r w:rsidRPr="003530EF">
              <w:rPr>
                <w:rFonts w:cs="Calibri"/>
                <w:b/>
                <w:bCs/>
                <w:color w:val="000000"/>
                <w:lang w:val="de-AT" w:eastAsia="de-AT"/>
              </w:rPr>
              <w:t xml:space="preserve"> (mm)</w:t>
            </w:r>
          </w:p>
        </w:tc>
        <w:tc>
          <w:tcPr>
            <w:tcW w:w="1411" w:type="dxa"/>
            <w:tcBorders>
              <w:top w:val="nil"/>
              <w:left w:val="nil"/>
              <w:bottom w:val="nil"/>
              <w:right w:val="nil"/>
            </w:tcBorders>
            <w:shd w:val="clear" w:color="auto" w:fill="auto"/>
            <w:noWrap/>
            <w:vAlign w:val="bottom"/>
            <w:hideMark/>
          </w:tcPr>
          <w:p w14:paraId="03A15794" w14:textId="0BDEA23F" w:rsidR="003530EF" w:rsidRPr="003530EF" w:rsidRDefault="003530EF" w:rsidP="00E80C7D">
            <w:pPr>
              <w:spacing w:line="240" w:lineRule="auto"/>
              <w:jc w:val="center"/>
              <w:outlineLvl w:val="9"/>
              <w:rPr>
                <w:rFonts w:ascii="Calibri" w:hAnsi="Calibri" w:cs="Calibri"/>
                <w:color w:val="000000"/>
                <w:sz w:val="22"/>
                <w:szCs w:val="22"/>
                <w:lang w:val="de-AT" w:eastAsia="de-AT"/>
              </w:rPr>
            </w:pPr>
            <w:proofErr w:type="spellStart"/>
            <w:r w:rsidRPr="003530EF">
              <w:rPr>
                <w:rFonts w:ascii="Calibri" w:hAnsi="Calibri" w:cs="Calibri"/>
                <w:color w:val="000000"/>
                <w:sz w:val="22"/>
                <w:szCs w:val="22"/>
                <w:lang w:val="de-AT" w:eastAsia="de-AT"/>
              </w:rPr>
              <w:t>Temp</w:t>
            </w:r>
            <w:proofErr w:type="spellEnd"/>
            <w:r w:rsidRPr="003530EF">
              <w:rPr>
                <w:rFonts w:ascii="Calibri" w:hAnsi="Calibri" w:cs="Calibri"/>
                <w:color w:val="000000"/>
                <w:sz w:val="22"/>
                <w:szCs w:val="22"/>
                <w:lang w:val="de-AT" w:eastAsia="de-AT"/>
              </w:rPr>
              <w:t xml:space="preserve"> </w:t>
            </w:r>
            <w:proofErr w:type="spellStart"/>
            <w:r w:rsidRPr="003530EF">
              <w:rPr>
                <w:rFonts w:ascii="Calibri" w:hAnsi="Calibri" w:cs="Calibri"/>
                <w:color w:val="000000"/>
                <w:sz w:val="22"/>
                <w:szCs w:val="22"/>
                <w:lang w:val="de-AT" w:eastAsia="de-AT"/>
              </w:rPr>
              <w:t>Avg</w:t>
            </w:r>
            <w:proofErr w:type="spellEnd"/>
          </w:p>
        </w:tc>
        <w:tc>
          <w:tcPr>
            <w:tcW w:w="1411" w:type="dxa"/>
            <w:tcBorders>
              <w:top w:val="nil"/>
              <w:left w:val="nil"/>
              <w:bottom w:val="nil"/>
              <w:right w:val="nil"/>
            </w:tcBorders>
            <w:shd w:val="clear" w:color="auto" w:fill="auto"/>
            <w:noWrap/>
            <w:vAlign w:val="center"/>
            <w:hideMark/>
          </w:tcPr>
          <w:p w14:paraId="5FA980A9" w14:textId="4791D6B8" w:rsidR="003530EF" w:rsidRPr="003530EF" w:rsidRDefault="003530EF" w:rsidP="00E80C7D">
            <w:pPr>
              <w:spacing w:line="240" w:lineRule="auto"/>
              <w:jc w:val="center"/>
              <w:outlineLvl w:val="9"/>
              <w:rPr>
                <w:rFonts w:cs="Calibri"/>
                <w:b/>
                <w:bCs/>
                <w:color w:val="000000"/>
                <w:lang w:val="de-AT" w:eastAsia="de-AT"/>
              </w:rPr>
            </w:pPr>
            <w:r w:rsidRPr="003530EF">
              <w:rPr>
                <w:rFonts w:cs="Calibri"/>
                <w:b/>
                <w:bCs/>
                <w:color w:val="000000"/>
                <w:lang w:val="de-AT" w:eastAsia="de-AT"/>
              </w:rPr>
              <w:t xml:space="preserve">Max </w:t>
            </w:r>
            <w:proofErr w:type="spellStart"/>
            <w:r w:rsidRPr="003530EF">
              <w:rPr>
                <w:rFonts w:cs="Calibri"/>
                <w:b/>
                <w:bCs/>
                <w:color w:val="000000"/>
                <w:lang w:val="de-AT" w:eastAsia="de-AT"/>
              </w:rPr>
              <w:t>Temp</w:t>
            </w:r>
            <w:proofErr w:type="spellEnd"/>
          </w:p>
        </w:tc>
        <w:tc>
          <w:tcPr>
            <w:tcW w:w="1411" w:type="dxa"/>
            <w:tcBorders>
              <w:top w:val="nil"/>
              <w:left w:val="nil"/>
              <w:bottom w:val="nil"/>
              <w:right w:val="nil"/>
            </w:tcBorders>
            <w:shd w:val="clear" w:color="auto" w:fill="auto"/>
            <w:noWrap/>
            <w:vAlign w:val="bottom"/>
            <w:hideMark/>
          </w:tcPr>
          <w:p w14:paraId="04B9C092" w14:textId="40E71DCC" w:rsidR="003530EF" w:rsidRPr="003530EF" w:rsidRDefault="003530EF" w:rsidP="00E80C7D">
            <w:pPr>
              <w:spacing w:line="240" w:lineRule="auto"/>
              <w:jc w:val="center"/>
              <w:outlineLvl w:val="9"/>
              <w:rPr>
                <w:rFonts w:ascii="Calibri" w:hAnsi="Calibri" w:cs="Calibri"/>
                <w:color w:val="000000"/>
                <w:sz w:val="22"/>
                <w:szCs w:val="22"/>
                <w:lang w:val="de-AT" w:eastAsia="de-AT"/>
              </w:rPr>
            </w:pPr>
            <w:r w:rsidRPr="003530EF">
              <w:rPr>
                <w:rFonts w:ascii="Calibri" w:hAnsi="Calibri" w:cs="Calibri"/>
                <w:color w:val="000000"/>
                <w:sz w:val="22"/>
                <w:szCs w:val="22"/>
                <w:lang w:val="de-AT" w:eastAsia="de-AT"/>
              </w:rPr>
              <w:t xml:space="preserve">Min </w:t>
            </w:r>
            <w:proofErr w:type="spellStart"/>
            <w:r w:rsidRPr="003530EF">
              <w:rPr>
                <w:rFonts w:ascii="Calibri" w:hAnsi="Calibri" w:cs="Calibri"/>
                <w:color w:val="000000"/>
                <w:sz w:val="22"/>
                <w:szCs w:val="22"/>
                <w:lang w:val="de-AT" w:eastAsia="de-AT"/>
              </w:rPr>
              <w:t>Temp</w:t>
            </w:r>
            <w:proofErr w:type="spellEnd"/>
          </w:p>
        </w:tc>
        <w:tc>
          <w:tcPr>
            <w:tcW w:w="1411" w:type="dxa"/>
            <w:tcBorders>
              <w:top w:val="nil"/>
              <w:left w:val="nil"/>
              <w:bottom w:val="nil"/>
              <w:right w:val="nil"/>
            </w:tcBorders>
            <w:shd w:val="clear" w:color="auto" w:fill="auto"/>
            <w:noWrap/>
            <w:vAlign w:val="center"/>
            <w:hideMark/>
          </w:tcPr>
          <w:p w14:paraId="651D471A" w14:textId="77777777" w:rsidR="003530EF" w:rsidRPr="003530EF" w:rsidRDefault="003530EF" w:rsidP="00E80C7D">
            <w:pPr>
              <w:spacing w:line="240" w:lineRule="auto"/>
              <w:jc w:val="center"/>
              <w:outlineLvl w:val="9"/>
              <w:rPr>
                <w:rFonts w:cs="Calibri"/>
                <w:b/>
                <w:bCs/>
                <w:color w:val="000000"/>
                <w:lang w:val="de-AT" w:eastAsia="de-AT"/>
              </w:rPr>
            </w:pPr>
            <w:proofErr w:type="spellStart"/>
            <w:r w:rsidRPr="003530EF">
              <w:rPr>
                <w:rFonts w:cs="Calibri"/>
                <w:b/>
                <w:bCs/>
                <w:color w:val="000000"/>
                <w:lang w:val="de-AT" w:eastAsia="de-AT"/>
              </w:rPr>
              <w:t>Humidity</w:t>
            </w:r>
            <w:proofErr w:type="spellEnd"/>
          </w:p>
        </w:tc>
        <w:tc>
          <w:tcPr>
            <w:tcW w:w="1411" w:type="dxa"/>
            <w:tcBorders>
              <w:top w:val="nil"/>
              <w:left w:val="nil"/>
              <w:bottom w:val="nil"/>
              <w:right w:val="nil"/>
            </w:tcBorders>
            <w:shd w:val="clear" w:color="auto" w:fill="auto"/>
            <w:noWrap/>
            <w:vAlign w:val="bottom"/>
            <w:hideMark/>
          </w:tcPr>
          <w:p w14:paraId="2F3D94C7" w14:textId="77777777" w:rsidR="003530EF" w:rsidRPr="003530EF" w:rsidRDefault="003530EF" w:rsidP="00E80C7D">
            <w:pPr>
              <w:spacing w:line="240" w:lineRule="auto"/>
              <w:jc w:val="center"/>
              <w:outlineLvl w:val="9"/>
              <w:rPr>
                <w:rFonts w:ascii="Calibri" w:hAnsi="Calibri" w:cs="Calibri"/>
                <w:color w:val="000000"/>
                <w:sz w:val="22"/>
                <w:szCs w:val="22"/>
                <w:lang w:val="de-AT" w:eastAsia="de-AT"/>
              </w:rPr>
            </w:pPr>
            <w:proofErr w:type="spellStart"/>
            <w:r w:rsidRPr="003530EF">
              <w:rPr>
                <w:rFonts w:ascii="Calibri" w:hAnsi="Calibri" w:cs="Calibri"/>
                <w:color w:val="000000"/>
                <w:sz w:val="22"/>
                <w:szCs w:val="22"/>
                <w:lang w:val="de-AT" w:eastAsia="de-AT"/>
              </w:rPr>
              <w:t>Temp</w:t>
            </w:r>
            <w:proofErr w:type="spellEnd"/>
            <w:r w:rsidRPr="003530EF">
              <w:rPr>
                <w:rFonts w:ascii="Calibri" w:hAnsi="Calibri" w:cs="Calibri"/>
                <w:color w:val="000000"/>
                <w:sz w:val="22"/>
                <w:szCs w:val="22"/>
                <w:lang w:val="de-AT" w:eastAsia="de-AT"/>
              </w:rPr>
              <w:t xml:space="preserve"> &gt;30°C</w:t>
            </w:r>
          </w:p>
        </w:tc>
      </w:tr>
      <w:tr w:rsidR="003530EF" w:rsidRPr="003530EF" w14:paraId="4E5D04E1" w14:textId="77777777" w:rsidTr="003530EF">
        <w:trPr>
          <w:divId w:val="1220168188"/>
          <w:trHeight w:val="254"/>
        </w:trPr>
        <w:tc>
          <w:tcPr>
            <w:tcW w:w="632" w:type="dxa"/>
            <w:tcBorders>
              <w:top w:val="nil"/>
              <w:left w:val="nil"/>
              <w:bottom w:val="nil"/>
              <w:right w:val="nil"/>
            </w:tcBorders>
            <w:shd w:val="clear" w:color="auto" w:fill="auto"/>
            <w:noWrap/>
            <w:vAlign w:val="center"/>
            <w:hideMark/>
          </w:tcPr>
          <w:p w14:paraId="4436EDE2" w14:textId="77777777" w:rsidR="003530EF" w:rsidRPr="003530EF" w:rsidRDefault="003530EF" w:rsidP="003530EF">
            <w:pPr>
              <w:spacing w:line="240" w:lineRule="auto"/>
              <w:jc w:val="both"/>
              <w:outlineLvl w:val="9"/>
              <w:rPr>
                <w:rFonts w:cs="Calibri"/>
                <w:color w:val="000000"/>
                <w:lang w:val="de-AT" w:eastAsia="de-AT"/>
              </w:rPr>
            </w:pPr>
            <w:proofErr w:type="spellStart"/>
            <w:r w:rsidRPr="003530EF">
              <w:rPr>
                <w:rFonts w:cs="Calibri"/>
                <w:color w:val="000000"/>
                <w:lang w:val="de-AT" w:eastAsia="de-AT"/>
              </w:rPr>
              <w:t>Jän</w:t>
            </w:r>
            <w:proofErr w:type="spellEnd"/>
          </w:p>
        </w:tc>
        <w:tc>
          <w:tcPr>
            <w:tcW w:w="1410" w:type="dxa"/>
            <w:tcBorders>
              <w:top w:val="nil"/>
              <w:left w:val="nil"/>
              <w:bottom w:val="nil"/>
              <w:right w:val="nil"/>
            </w:tcBorders>
            <w:shd w:val="clear" w:color="auto" w:fill="auto"/>
            <w:noWrap/>
            <w:vAlign w:val="center"/>
            <w:hideMark/>
          </w:tcPr>
          <w:p w14:paraId="0A50D36B"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5,8</w:t>
            </w:r>
          </w:p>
        </w:tc>
        <w:tc>
          <w:tcPr>
            <w:tcW w:w="1411" w:type="dxa"/>
            <w:tcBorders>
              <w:top w:val="nil"/>
              <w:left w:val="nil"/>
              <w:bottom w:val="nil"/>
              <w:right w:val="nil"/>
            </w:tcBorders>
            <w:shd w:val="clear" w:color="auto" w:fill="auto"/>
            <w:noWrap/>
            <w:vAlign w:val="center"/>
            <w:hideMark/>
          </w:tcPr>
          <w:p w14:paraId="59CB5AF4"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2,12</w:t>
            </w:r>
          </w:p>
        </w:tc>
        <w:tc>
          <w:tcPr>
            <w:tcW w:w="1411" w:type="dxa"/>
            <w:tcBorders>
              <w:top w:val="nil"/>
              <w:left w:val="nil"/>
              <w:bottom w:val="nil"/>
              <w:right w:val="nil"/>
            </w:tcBorders>
            <w:shd w:val="clear" w:color="auto" w:fill="auto"/>
            <w:noWrap/>
            <w:vAlign w:val="center"/>
            <w:hideMark/>
          </w:tcPr>
          <w:p w14:paraId="696D2D7C"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14,75</w:t>
            </w:r>
          </w:p>
        </w:tc>
        <w:tc>
          <w:tcPr>
            <w:tcW w:w="1411" w:type="dxa"/>
            <w:tcBorders>
              <w:top w:val="nil"/>
              <w:left w:val="nil"/>
              <w:bottom w:val="nil"/>
              <w:right w:val="nil"/>
            </w:tcBorders>
            <w:shd w:val="clear" w:color="auto" w:fill="auto"/>
            <w:noWrap/>
            <w:vAlign w:val="center"/>
            <w:hideMark/>
          </w:tcPr>
          <w:p w14:paraId="1C76EF00"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-8,51</w:t>
            </w:r>
          </w:p>
        </w:tc>
        <w:tc>
          <w:tcPr>
            <w:tcW w:w="1411" w:type="dxa"/>
            <w:tcBorders>
              <w:top w:val="nil"/>
              <w:left w:val="nil"/>
              <w:bottom w:val="nil"/>
              <w:right w:val="nil"/>
            </w:tcBorders>
            <w:shd w:val="clear" w:color="auto" w:fill="auto"/>
            <w:noWrap/>
            <w:vAlign w:val="center"/>
            <w:hideMark/>
          </w:tcPr>
          <w:p w14:paraId="19BB9DA2"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81,04%</w:t>
            </w:r>
          </w:p>
        </w:tc>
        <w:tc>
          <w:tcPr>
            <w:tcW w:w="1411" w:type="dxa"/>
            <w:tcBorders>
              <w:top w:val="nil"/>
              <w:left w:val="nil"/>
              <w:bottom w:val="nil"/>
              <w:right w:val="nil"/>
            </w:tcBorders>
            <w:shd w:val="clear" w:color="auto" w:fill="auto"/>
            <w:noWrap/>
            <w:vAlign w:val="bottom"/>
            <w:hideMark/>
          </w:tcPr>
          <w:p w14:paraId="4D9B0008" w14:textId="77777777" w:rsidR="003530EF" w:rsidRPr="003530EF" w:rsidRDefault="003530EF" w:rsidP="00E80C7D">
            <w:pPr>
              <w:spacing w:line="240" w:lineRule="auto"/>
              <w:jc w:val="center"/>
              <w:outlineLvl w:val="9"/>
              <w:rPr>
                <w:rFonts w:cs="Calibri"/>
                <w:color w:val="000000"/>
                <w:lang w:val="de-AT" w:eastAsia="de-AT"/>
              </w:rPr>
            </w:pPr>
          </w:p>
        </w:tc>
      </w:tr>
      <w:tr w:rsidR="003530EF" w:rsidRPr="003530EF" w14:paraId="4A9DAFC6" w14:textId="77777777" w:rsidTr="003530EF">
        <w:trPr>
          <w:divId w:val="1220168188"/>
          <w:trHeight w:val="254"/>
        </w:trPr>
        <w:tc>
          <w:tcPr>
            <w:tcW w:w="632" w:type="dxa"/>
            <w:tcBorders>
              <w:top w:val="nil"/>
              <w:left w:val="nil"/>
              <w:bottom w:val="nil"/>
              <w:right w:val="nil"/>
            </w:tcBorders>
            <w:shd w:val="clear" w:color="auto" w:fill="auto"/>
            <w:noWrap/>
            <w:vAlign w:val="center"/>
            <w:hideMark/>
          </w:tcPr>
          <w:p w14:paraId="6190FAA3" w14:textId="77777777" w:rsidR="003530EF" w:rsidRPr="003530EF" w:rsidRDefault="003530EF" w:rsidP="003530EF">
            <w:pPr>
              <w:spacing w:line="240" w:lineRule="auto"/>
              <w:jc w:val="both"/>
              <w:outlineLvl w:val="9"/>
              <w:rPr>
                <w:rFonts w:cs="Calibri"/>
                <w:color w:val="000000"/>
                <w:lang w:val="de-AT" w:eastAsia="de-AT"/>
              </w:rPr>
            </w:pPr>
            <w:r w:rsidRPr="003530EF">
              <w:rPr>
                <w:rFonts w:cs="Calibri"/>
                <w:color w:val="000000"/>
                <w:lang w:val="de-AT" w:eastAsia="de-AT"/>
              </w:rPr>
              <w:t>Feb</w:t>
            </w:r>
          </w:p>
        </w:tc>
        <w:tc>
          <w:tcPr>
            <w:tcW w:w="1410" w:type="dxa"/>
            <w:tcBorders>
              <w:top w:val="nil"/>
              <w:left w:val="nil"/>
              <w:bottom w:val="nil"/>
              <w:right w:val="nil"/>
            </w:tcBorders>
            <w:shd w:val="clear" w:color="auto" w:fill="auto"/>
            <w:noWrap/>
            <w:vAlign w:val="center"/>
            <w:hideMark/>
          </w:tcPr>
          <w:p w14:paraId="11EC2352"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8,2</w:t>
            </w:r>
          </w:p>
        </w:tc>
        <w:tc>
          <w:tcPr>
            <w:tcW w:w="1411" w:type="dxa"/>
            <w:tcBorders>
              <w:top w:val="nil"/>
              <w:left w:val="nil"/>
              <w:bottom w:val="nil"/>
              <w:right w:val="nil"/>
            </w:tcBorders>
            <w:shd w:val="clear" w:color="auto" w:fill="auto"/>
            <w:noWrap/>
            <w:vAlign w:val="center"/>
            <w:hideMark/>
          </w:tcPr>
          <w:p w14:paraId="2B13CE0B"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4,85</w:t>
            </w:r>
          </w:p>
        </w:tc>
        <w:tc>
          <w:tcPr>
            <w:tcW w:w="1411" w:type="dxa"/>
            <w:tcBorders>
              <w:top w:val="nil"/>
              <w:left w:val="nil"/>
              <w:bottom w:val="nil"/>
              <w:right w:val="nil"/>
            </w:tcBorders>
            <w:shd w:val="clear" w:color="auto" w:fill="auto"/>
            <w:noWrap/>
            <w:vAlign w:val="center"/>
            <w:hideMark/>
          </w:tcPr>
          <w:p w14:paraId="31D439E3"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15,98</w:t>
            </w:r>
          </w:p>
        </w:tc>
        <w:tc>
          <w:tcPr>
            <w:tcW w:w="1411" w:type="dxa"/>
            <w:tcBorders>
              <w:top w:val="nil"/>
              <w:left w:val="nil"/>
              <w:bottom w:val="nil"/>
              <w:right w:val="nil"/>
            </w:tcBorders>
            <w:shd w:val="clear" w:color="auto" w:fill="auto"/>
            <w:noWrap/>
            <w:vAlign w:val="center"/>
            <w:hideMark/>
          </w:tcPr>
          <w:p w14:paraId="35BD94A7"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-6,15</w:t>
            </w:r>
          </w:p>
        </w:tc>
        <w:tc>
          <w:tcPr>
            <w:tcW w:w="1411" w:type="dxa"/>
            <w:tcBorders>
              <w:top w:val="nil"/>
              <w:left w:val="nil"/>
              <w:bottom w:val="nil"/>
              <w:right w:val="nil"/>
            </w:tcBorders>
            <w:shd w:val="clear" w:color="auto" w:fill="auto"/>
            <w:noWrap/>
            <w:vAlign w:val="center"/>
            <w:hideMark/>
          </w:tcPr>
          <w:p w14:paraId="44FCA6AE"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68,05%</w:t>
            </w:r>
          </w:p>
        </w:tc>
        <w:tc>
          <w:tcPr>
            <w:tcW w:w="1411" w:type="dxa"/>
            <w:tcBorders>
              <w:top w:val="nil"/>
              <w:left w:val="nil"/>
              <w:bottom w:val="nil"/>
              <w:right w:val="nil"/>
            </w:tcBorders>
            <w:shd w:val="clear" w:color="auto" w:fill="auto"/>
            <w:noWrap/>
            <w:vAlign w:val="bottom"/>
            <w:hideMark/>
          </w:tcPr>
          <w:p w14:paraId="2B933D26" w14:textId="77777777" w:rsidR="003530EF" w:rsidRPr="003530EF" w:rsidRDefault="003530EF" w:rsidP="00E80C7D">
            <w:pPr>
              <w:spacing w:line="240" w:lineRule="auto"/>
              <w:jc w:val="center"/>
              <w:outlineLvl w:val="9"/>
              <w:rPr>
                <w:rFonts w:cs="Calibri"/>
                <w:color w:val="000000"/>
                <w:lang w:val="de-AT" w:eastAsia="de-AT"/>
              </w:rPr>
            </w:pPr>
          </w:p>
        </w:tc>
      </w:tr>
      <w:tr w:rsidR="003530EF" w:rsidRPr="003530EF" w14:paraId="046B3F57" w14:textId="77777777" w:rsidTr="003530EF">
        <w:trPr>
          <w:divId w:val="1220168188"/>
          <w:trHeight w:val="254"/>
        </w:trPr>
        <w:tc>
          <w:tcPr>
            <w:tcW w:w="632" w:type="dxa"/>
            <w:tcBorders>
              <w:top w:val="nil"/>
              <w:left w:val="nil"/>
              <w:bottom w:val="nil"/>
              <w:right w:val="nil"/>
            </w:tcBorders>
            <w:shd w:val="clear" w:color="auto" w:fill="auto"/>
            <w:noWrap/>
            <w:vAlign w:val="center"/>
            <w:hideMark/>
          </w:tcPr>
          <w:p w14:paraId="1E6D1806" w14:textId="77777777" w:rsidR="003530EF" w:rsidRPr="003530EF" w:rsidRDefault="003530EF" w:rsidP="003530EF">
            <w:pPr>
              <w:spacing w:line="240" w:lineRule="auto"/>
              <w:jc w:val="both"/>
              <w:outlineLvl w:val="9"/>
              <w:rPr>
                <w:rFonts w:cs="Calibri"/>
                <w:color w:val="000000"/>
                <w:lang w:val="de-AT" w:eastAsia="de-AT"/>
              </w:rPr>
            </w:pPr>
            <w:r w:rsidRPr="003530EF">
              <w:rPr>
                <w:rFonts w:cs="Calibri"/>
                <w:color w:val="000000"/>
                <w:lang w:val="de-AT" w:eastAsia="de-AT"/>
              </w:rPr>
              <w:t>Mär</w:t>
            </w:r>
          </w:p>
        </w:tc>
        <w:tc>
          <w:tcPr>
            <w:tcW w:w="1410" w:type="dxa"/>
            <w:tcBorders>
              <w:top w:val="nil"/>
              <w:left w:val="nil"/>
              <w:bottom w:val="nil"/>
              <w:right w:val="nil"/>
            </w:tcBorders>
            <w:shd w:val="clear" w:color="auto" w:fill="auto"/>
            <w:noWrap/>
            <w:vAlign w:val="center"/>
            <w:hideMark/>
          </w:tcPr>
          <w:p w14:paraId="5A3F5088"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12,6</w:t>
            </w:r>
          </w:p>
        </w:tc>
        <w:tc>
          <w:tcPr>
            <w:tcW w:w="1411" w:type="dxa"/>
            <w:tcBorders>
              <w:top w:val="nil"/>
              <w:left w:val="nil"/>
              <w:bottom w:val="nil"/>
              <w:right w:val="nil"/>
            </w:tcBorders>
            <w:shd w:val="clear" w:color="auto" w:fill="auto"/>
            <w:noWrap/>
            <w:vAlign w:val="center"/>
            <w:hideMark/>
          </w:tcPr>
          <w:p w14:paraId="4A014DA5"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5,07</w:t>
            </w:r>
          </w:p>
        </w:tc>
        <w:tc>
          <w:tcPr>
            <w:tcW w:w="1411" w:type="dxa"/>
            <w:tcBorders>
              <w:top w:val="nil"/>
              <w:left w:val="nil"/>
              <w:bottom w:val="nil"/>
              <w:right w:val="nil"/>
            </w:tcBorders>
            <w:shd w:val="clear" w:color="auto" w:fill="auto"/>
            <w:noWrap/>
            <w:vAlign w:val="center"/>
            <w:hideMark/>
          </w:tcPr>
          <w:p w14:paraId="2F0C7D6C"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22,42</w:t>
            </w:r>
          </w:p>
        </w:tc>
        <w:tc>
          <w:tcPr>
            <w:tcW w:w="1411" w:type="dxa"/>
            <w:tcBorders>
              <w:top w:val="nil"/>
              <w:left w:val="nil"/>
              <w:bottom w:val="nil"/>
              <w:right w:val="nil"/>
            </w:tcBorders>
            <w:shd w:val="clear" w:color="auto" w:fill="auto"/>
            <w:noWrap/>
            <w:vAlign w:val="center"/>
            <w:hideMark/>
          </w:tcPr>
          <w:p w14:paraId="0D3460D8"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-7,23</w:t>
            </w:r>
          </w:p>
        </w:tc>
        <w:tc>
          <w:tcPr>
            <w:tcW w:w="1411" w:type="dxa"/>
            <w:tcBorders>
              <w:top w:val="nil"/>
              <w:left w:val="nil"/>
              <w:bottom w:val="nil"/>
              <w:right w:val="nil"/>
            </w:tcBorders>
            <w:shd w:val="clear" w:color="auto" w:fill="auto"/>
            <w:noWrap/>
            <w:vAlign w:val="center"/>
            <w:hideMark/>
          </w:tcPr>
          <w:p w14:paraId="2D73F252"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53,04%</w:t>
            </w:r>
          </w:p>
        </w:tc>
        <w:tc>
          <w:tcPr>
            <w:tcW w:w="1411" w:type="dxa"/>
            <w:tcBorders>
              <w:top w:val="nil"/>
              <w:left w:val="nil"/>
              <w:bottom w:val="nil"/>
              <w:right w:val="nil"/>
            </w:tcBorders>
            <w:shd w:val="clear" w:color="auto" w:fill="auto"/>
            <w:noWrap/>
            <w:vAlign w:val="bottom"/>
            <w:hideMark/>
          </w:tcPr>
          <w:p w14:paraId="542401F0" w14:textId="77777777" w:rsidR="003530EF" w:rsidRPr="003530EF" w:rsidRDefault="003530EF" w:rsidP="00E80C7D">
            <w:pPr>
              <w:spacing w:line="240" w:lineRule="auto"/>
              <w:jc w:val="center"/>
              <w:outlineLvl w:val="9"/>
              <w:rPr>
                <w:rFonts w:cs="Calibri"/>
                <w:color w:val="000000"/>
                <w:lang w:val="de-AT" w:eastAsia="de-AT"/>
              </w:rPr>
            </w:pPr>
          </w:p>
        </w:tc>
      </w:tr>
      <w:tr w:rsidR="003530EF" w:rsidRPr="003530EF" w14:paraId="798AFA1F" w14:textId="77777777" w:rsidTr="003530EF">
        <w:trPr>
          <w:divId w:val="1220168188"/>
          <w:trHeight w:val="254"/>
        </w:trPr>
        <w:tc>
          <w:tcPr>
            <w:tcW w:w="632" w:type="dxa"/>
            <w:tcBorders>
              <w:top w:val="nil"/>
              <w:left w:val="nil"/>
              <w:bottom w:val="nil"/>
              <w:right w:val="nil"/>
            </w:tcBorders>
            <w:shd w:val="clear" w:color="auto" w:fill="auto"/>
            <w:noWrap/>
            <w:vAlign w:val="center"/>
            <w:hideMark/>
          </w:tcPr>
          <w:p w14:paraId="21699658" w14:textId="77777777" w:rsidR="003530EF" w:rsidRPr="003530EF" w:rsidRDefault="003530EF" w:rsidP="003530EF">
            <w:pPr>
              <w:spacing w:line="240" w:lineRule="auto"/>
              <w:jc w:val="both"/>
              <w:outlineLvl w:val="9"/>
              <w:rPr>
                <w:rFonts w:cs="Calibri"/>
                <w:color w:val="000000"/>
                <w:lang w:val="de-AT" w:eastAsia="de-AT"/>
              </w:rPr>
            </w:pPr>
            <w:r w:rsidRPr="003530EF">
              <w:rPr>
                <w:rFonts w:cs="Calibri"/>
                <w:color w:val="000000"/>
                <w:lang w:val="de-AT" w:eastAsia="de-AT"/>
              </w:rPr>
              <w:t>Apr</w:t>
            </w:r>
          </w:p>
        </w:tc>
        <w:tc>
          <w:tcPr>
            <w:tcW w:w="1410" w:type="dxa"/>
            <w:tcBorders>
              <w:top w:val="nil"/>
              <w:left w:val="nil"/>
              <w:bottom w:val="nil"/>
              <w:right w:val="nil"/>
            </w:tcBorders>
            <w:shd w:val="clear" w:color="auto" w:fill="auto"/>
            <w:noWrap/>
            <w:vAlign w:val="center"/>
            <w:hideMark/>
          </w:tcPr>
          <w:p w14:paraId="6AB9681C"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30</w:t>
            </w:r>
          </w:p>
        </w:tc>
        <w:tc>
          <w:tcPr>
            <w:tcW w:w="1411" w:type="dxa"/>
            <w:tcBorders>
              <w:top w:val="nil"/>
              <w:left w:val="nil"/>
              <w:bottom w:val="nil"/>
              <w:right w:val="nil"/>
            </w:tcBorders>
            <w:shd w:val="clear" w:color="auto" w:fill="auto"/>
            <w:noWrap/>
            <w:vAlign w:val="center"/>
            <w:hideMark/>
          </w:tcPr>
          <w:p w14:paraId="65DBF893"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8,72</w:t>
            </w:r>
          </w:p>
        </w:tc>
        <w:tc>
          <w:tcPr>
            <w:tcW w:w="1411" w:type="dxa"/>
            <w:tcBorders>
              <w:top w:val="nil"/>
              <w:left w:val="nil"/>
              <w:bottom w:val="nil"/>
              <w:right w:val="nil"/>
            </w:tcBorders>
            <w:shd w:val="clear" w:color="auto" w:fill="auto"/>
            <w:noWrap/>
            <w:vAlign w:val="center"/>
            <w:hideMark/>
          </w:tcPr>
          <w:p w14:paraId="42DC09A7"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24,35</w:t>
            </w:r>
          </w:p>
        </w:tc>
        <w:tc>
          <w:tcPr>
            <w:tcW w:w="1411" w:type="dxa"/>
            <w:tcBorders>
              <w:top w:val="nil"/>
              <w:left w:val="nil"/>
              <w:bottom w:val="nil"/>
              <w:right w:val="nil"/>
            </w:tcBorders>
            <w:shd w:val="clear" w:color="auto" w:fill="auto"/>
            <w:noWrap/>
            <w:vAlign w:val="center"/>
            <w:hideMark/>
          </w:tcPr>
          <w:p w14:paraId="0E6B14E0"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-4,05</w:t>
            </w:r>
          </w:p>
        </w:tc>
        <w:tc>
          <w:tcPr>
            <w:tcW w:w="1411" w:type="dxa"/>
            <w:tcBorders>
              <w:top w:val="nil"/>
              <w:left w:val="nil"/>
              <w:bottom w:val="nil"/>
              <w:right w:val="nil"/>
            </w:tcBorders>
            <w:shd w:val="clear" w:color="auto" w:fill="auto"/>
            <w:noWrap/>
            <w:vAlign w:val="center"/>
            <w:hideMark/>
          </w:tcPr>
          <w:p w14:paraId="3D0C9A9C"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68,98%</w:t>
            </w:r>
          </w:p>
        </w:tc>
        <w:tc>
          <w:tcPr>
            <w:tcW w:w="1411" w:type="dxa"/>
            <w:tcBorders>
              <w:top w:val="nil"/>
              <w:left w:val="nil"/>
              <w:bottom w:val="nil"/>
              <w:right w:val="nil"/>
            </w:tcBorders>
            <w:shd w:val="clear" w:color="auto" w:fill="auto"/>
            <w:noWrap/>
            <w:vAlign w:val="bottom"/>
            <w:hideMark/>
          </w:tcPr>
          <w:p w14:paraId="27942638" w14:textId="77777777" w:rsidR="003530EF" w:rsidRPr="003530EF" w:rsidRDefault="003530EF" w:rsidP="00E80C7D">
            <w:pPr>
              <w:spacing w:line="240" w:lineRule="auto"/>
              <w:jc w:val="center"/>
              <w:outlineLvl w:val="9"/>
              <w:rPr>
                <w:rFonts w:cs="Calibri"/>
                <w:color w:val="000000"/>
                <w:lang w:val="de-AT" w:eastAsia="de-AT"/>
              </w:rPr>
            </w:pPr>
          </w:p>
        </w:tc>
      </w:tr>
      <w:tr w:rsidR="003530EF" w:rsidRPr="003530EF" w14:paraId="307B495D" w14:textId="77777777" w:rsidTr="003530EF">
        <w:trPr>
          <w:divId w:val="1220168188"/>
          <w:trHeight w:val="254"/>
        </w:trPr>
        <w:tc>
          <w:tcPr>
            <w:tcW w:w="632" w:type="dxa"/>
            <w:tcBorders>
              <w:top w:val="nil"/>
              <w:left w:val="nil"/>
              <w:bottom w:val="nil"/>
              <w:right w:val="nil"/>
            </w:tcBorders>
            <w:shd w:val="clear" w:color="auto" w:fill="auto"/>
            <w:noWrap/>
            <w:vAlign w:val="center"/>
            <w:hideMark/>
          </w:tcPr>
          <w:p w14:paraId="63AA77E9" w14:textId="77777777" w:rsidR="003530EF" w:rsidRPr="003530EF" w:rsidRDefault="003530EF" w:rsidP="003530EF">
            <w:pPr>
              <w:spacing w:line="240" w:lineRule="auto"/>
              <w:jc w:val="both"/>
              <w:outlineLvl w:val="9"/>
              <w:rPr>
                <w:rFonts w:cs="Calibri"/>
                <w:color w:val="000000"/>
                <w:lang w:val="de-AT" w:eastAsia="de-AT"/>
              </w:rPr>
            </w:pPr>
            <w:r w:rsidRPr="003530EF">
              <w:rPr>
                <w:rFonts w:cs="Calibri"/>
                <w:color w:val="000000"/>
                <w:lang w:val="de-AT" w:eastAsia="de-AT"/>
              </w:rPr>
              <w:t>Mai</w:t>
            </w:r>
          </w:p>
        </w:tc>
        <w:tc>
          <w:tcPr>
            <w:tcW w:w="1410" w:type="dxa"/>
            <w:tcBorders>
              <w:top w:val="nil"/>
              <w:left w:val="nil"/>
              <w:bottom w:val="nil"/>
              <w:right w:val="nil"/>
            </w:tcBorders>
            <w:shd w:val="clear" w:color="auto" w:fill="auto"/>
            <w:noWrap/>
            <w:vAlign w:val="center"/>
            <w:hideMark/>
          </w:tcPr>
          <w:p w14:paraId="1DC72134"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70</w:t>
            </w:r>
          </w:p>
        </w:tc>
        <w:tc>
          <w:tcPr>
            <w:tcW w:w="1411" w:type="dxa"/>
            <w:tcBorders>
              <w:top w:val="nil"/>
              <w:left w:val="nil"/>
              <w:bottom w:val="nil"/>
              <w:right w:val="nil"/>
            </w:tcBorders>
            <w:shd w:val="clear" w:color="auto" w:fill="auto"/>
            <w:noWrap/>
            <w:vAlign w:val="center"/>
            <w:hideMark/>
          </w:tcPr>
          <w:p w14:paraId="7B518F85"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16,47</w:t>
            </w:r>
          </w:p>
        </w:tc>
        <w:tc>
          <w:tcPr>
            <w:tcW w:w="1411" w:type="dxa"/>
            <w:tcBorders>
              <w:top w:val="nil"/>
              <w:left w:val="nil"/>
              <w:bottom w:val="nil"/>
              <w:right w:val="nil"/>
            </w:tcBorders>
            <w:shd w:val="clear" w:color="auto" w:fill="auto"/>
            <w:noWrap/>
            <w:vAlign w:val="center"/>
            <w:hideMark/>
          </w:tcPr>
          <w:p w14:paraId="02FBD409"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31,45</w:t>
            </w:r>
          </w:p>
        </w:tc>
        <w:tc>
          <w:tcPr>
            <w:tcW w:w="1411" w:type="dxa"/>
            <w:tcBorders>
              <w:top w:val="nil"/>
              <w:left w:val="nil"/>
              <w:bottom w:val="nil"/>
              <w:right w:val="nil"/>
            </w:tcBorders>
            <w:shd w:val="clear" w:color="auto" w:fill="auto"/>
            <w:noWrap/>
            <w:vAlign w:val="center"/>
            <w:hideMark/>
          </w:tcPr>
          <w:p w14:paraId="12021458"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4,45</w:t>
            </w:r>
          </w:p>
        </w:tc>
        <w:tc>
          <w:tcPr>
            <w:tcW w:w="1411" w:type="dxa"/>
            <w:tcBorders>
              <w:top w:val="nil"/>
              <w:left w:val="nil"/>
              <w:bottom w:val="nil"/>
              <w:right w:val="nil"/>
            </w:tcBorders>
            <w:shd w:val="clear" w:color="auto" w:fill="auto"/>
            <w:noWrap/>
            <w:vAlign w:val="center"/>
            <w:hideMark/>
          </w:tcPr>
          <w:p w14:paraId="74D33ADA"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71,19%</w:t>
            </w:r>
          </w:p>
        </w:tc>
        <w:tc>
          <w:tcPr>
            <w:tcW w:w="1411" w:type="dxa"/>
            <w:tcBorders>
              <w:top w:val="nil"/>
              <w:left w:val="nil"/>
              <w:bottom w:val="nil"/>
              <w:right w:val="nil"/>
            </w:tcBorders>
            <w:shd w:val="clear" w:color="auto" w:fill="auto"/>
            <w:noWrap/>
            <w:vAlign w:val="center"/>
            <w:hideMark/>
          </w:tcPr>
          <w:p w14:paraId="6685A797"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1</w:t>
            </w:r>
          </w:p>
        </w:tc>
      </w:tr>
      <w:tr w:rsidR="003530EF" w:rsidRPr="003530EF" w14:paraId="48E8F123" w14:textId="77777777" w:rsidTr="003530EF">
        <w:trPr>
          <w:divId w:val="1220168188"/>
          <w:trHeight w:val="254"/>
        </w:trPr>
        <w:tc>
          <w:tcPr>
            <w:tcW w:w="632" w:type="dxa"/>
            <w:tcBorders>
              <w:top w:val="nil"/>
              <w:left w:val="nil"/>
              <w:bottom w:val="nil"/>
              <w:right w:val="nil"/>
            </w:tcBorders>
            <w:shd w:val="clear" w:color="auto" w:fill="auto"/>
            <w:noWrap/>
            <w:vAlign w:val="center"/>
            <w:hideMark/>
          </w:tcPr>
          <w:p w14:paraId="04BA31C8" w14:textId="77777777" w:rsidR="003530EF" w:rsidRPr="003530EF" w:rsidRDefault="003530EF" w:rsidP="003530EF">
            <w:pPr>
              <w:spacing w:line="240" w:lineRule="auto"/>
              <w:jc w:val="both"/>
              <w:outlineLvl w:val="9"/>
              <w:rPr>
                <w:rFonts w:cs="Calibri"/>
                <w:color w:val="000000"/>
                <w:lang w:val="de-AT" w:eastAsia="de-AT"/>
              </w:rPr>
            </w:pPr>
            <w:r w:rsidRPr="003530EF">
              <w:rPr>
                <w:rFonts w:cs="Calibri"/>
                <w:color w:val="000000"/>
                <w:lang w:val="de-AT" w:eastAsia="de-AT"/>
              </w:rPr>
              <w:t>Juni</w:t>
            </w:r>
          </w:p>
        </w:tc>
        <w:tc>
          <w:tcPr>
            <w:tcW w:w="1410" w:type="dxa"/>
            <w:tcBorders>
              <w:top w:val="nil"/>
              <w:left w:val="nil"/>
              <w:bottom w:val="nil"/>
              <w:right w:val="nil"/>
            </w:tcBorders>
            <w:shd w:val="clear" w:color="auto" w:fill="auto"/>
            <w:noWrap/>
            <w:vAlign w:val="center"/>
            <w:hideMark/>
          </w:tcPr>
          <w:p w14:paraId="76147396"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95,4</w:t>
            </w:r>
          </w:p>
        </w:tc>
        <w:tc>
          <w:tcPr>
            <w:tcW w:w="1411" w:type="dxa"/>
            <w:tcBorders>
              <w:top w:val="nil"/>
              <w:left w:val="nil"/>
              <w:bottom w:val="nil"/>
              <w:right w:val="nil"/>
            </w:tcBorders>
            <w:shd w:val="clear" w:color="auto" w:fill="auto"/>
            <w:noWrap/>
            <w:vAlign w:val="center"/>
            <w:hideMark/>
          </w:tcPr>
          <w:p w14:paraId="09A32899"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20,38</w:t>
            </w:r>
          </w:p>
        </w:tc>
        <w:tc>
          <w:tcPr>
            <w:tcW w:w="1411" w:type="dxa"/>
            <w:tcBorders>
              <w:top w:val="nil"/>
              <w:left w:val="nil"/>
              <w:bottom w:val="nil"/>
              <w:right w:val="nil"/>
            </w:tcBorders>
            <w:shd w:val="clear" w:color="auto" w:fill="auto"/>
            <w:noWrap/>
            <w:vAlign w:val="center"/>
            <w:hideMark/>
          </w:tcPr>
          <w:p w14:paraId="535926A9"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33,28</w:t>
            </w:r>
          </w:p>
        </w:tc>
        <w:tc>
          <w:tcPr>
            <w:tcW w:w="1411" w:type="dxa"/>
            <w:tcBorders>
              <w:top w:val="nil"/>
              <w:left w:val="nil"/>
              <w:bottom w:val="nil"/>
              <w:right w:val="nil"/>
            </w:tcBorders>
            <w:shd w:val="clear" w:color="auto" w:fill="auto"/>
            <w:noWrap/>
            <w:vAlign w:val="center"/>
            <w:hideMark/>
          </w:tcPr>
          <w:p w14:paraId="1E2CFA43"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9,06</w:t>
            </w:r>
          </w:p>
        </w:tc>
        <w:tc>
          <w:tcPr>
            <w:tcW w:w="1411" w:type="dxa"/>
            <w:tcBorders>
              <w:top w:val="nil"/>
              <w:left w:val="nil"/>
              <w:bottom w:val="nil"/>
              <w:right w:val="nil"/>
            </w:tcBorders>
            <w:shd w:val="clear" w:color="auto" w:fill="auto"/>
            <w:noWrap/>
            <w:vAlign w:val="center"/>
            <w:hideMark/>
          </w:tcPr>
          <w:p w14:paraId="3E89A026"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74,93%</w:t>
            </w:r>
          </w:p>
        </w:tc>
        <w:tc>
          <w:tcPr>
            <w:tcW w:w="1411" w:type="dxa"/>
            <w:tcBorders>
              <w:top w:val="nil"/>
              <w:left w:val="nil"/>
              <w:bottom w:val="nil"/>
              <w:right w:val="nil"/>
            </w:tcBorders>
            <w:shd w:val="clear" w:color="auto" w:fill="auto"/>
            <w:noWrap/>
            <w:vAlign w:val="center"/>
            <w:hideMark/>
          </w:tcPr>
          <w:p w14:paraId="40D1BA68"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4</w:t>
            </w:r>
          </w:p>
        </w:tc>
      </w:tr>
      <w:tr w:rsidR="003530EF" w:rsidRPr="003530EF" w14:paraId="436475E6" w14:textId="77777777" w:rsidTr="003530EF">
        <w:trPr>
          <w:divId w:val="1220168188"/>
          <w:trHeight w:val="254"/>
        </w:trPr>
        <w:tc>
          <w:tcPr>
            <w:tcW w:w="632" w:type="dxa"/>
            <w:tcBorders>
              <w:top w:val="nil"/>
              <w:left w:val="nil"/>
              <w:bottom w:val="nil"/>
              <w:right w:val="nil"/>
            </w:tcBorders>
            <w:shd w:val="clear" w:color="auto" w:fill="auto"/>
            <w:noWrap/>
            <w:vAlign w:val="center"/>
            <w:hideMark/>
          </w:tcPr>
          <w:p w14:paraId="2B779EE3" w14:textId="77777777" w:rsidR="003530EF" w:rsidRPr="003530EF" w:rsidRDefault="003530EF" w:rsidP="003530EF">
            <w:pPr>
              <w:spacing w:line="240" w:lineRule="auto"/>
              <w:jc w:val="both"/>
              <w:outlineLvl w:val="9"/>
              <w:rPr>
                <w:rFonts w:cs="Calibri"/>
                <w:color w:val="000000"/>
                <w:lang w:val="de-AT" w:eastAsia="de-AT"/>
              </w:rPr>
            </w:pPr>
            <w:proofErr w:type="spellStart"/>
            <w:r w:rsidRPr="003530EF">
              <w:rPr>
                <w:rFonts w:cs="Calibri"/>
                <w:color w:val="000000"/>
                <w:lang w:val="de-AT" w:eastAsia="de-AT"/>
              </w:rPr>
              <w:t>July</w:t>
            </w:r>
            <w:proofErr w:type="spellEnd"/>
          </w:p>
        </w:tc>
        <w:tc>
          <w:tcPr>
            <w:tcW w:w="1410" w:type="dxa"/>
            <w:tcBorders>
              <w:top w:val="nil"/>
              <w:left w:val="nil"/>
              <w:bottom w:val="nil"/>
              <w:right w:val="nil"/>
            </w:tcBorders>
            <w:shd w:val="clear" w:color="auto" w:fill="auto"/>
            <w:noWrap/>
            <w:vAlign w:val="center"/>
            <w:hideMark/>
          </w:tcPr>
          <w:p w14:paraId="271735C5"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133,2</w:t>
            </w:r>
          </w:p>
        </w:tc>
        <w:tc>
          <w:tcPr>
            <w:tcW w:w="1411" w:type="dxa"/>
            <w:tcBorders>
              <w:top w:val="nil"/>
              <w:left w:val="nil"/>
              <w:bottom w:val="nil"/>
              <w:right w:val="nil"/>
            </w:tcBorders>
            <w:shd w:val="clear" w:color="auto" w:fill="auto"/>
            <w:noWrap/>
            <w:vAlign w:val="center"/>
            <w:hideMark/>
          </w:tcPr>
          <w:p w14:paraId="40768F19"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20,75</w:t>
            </w:r>
          </w:p>
        </w:tc>
        <w:tc>
          <w:tcPr>
            <w:tcW w:w="1411" w:type="dxa"/>
            <w:tcBorders>
              <w:top w:val="nil"/>
              <w:left w:val="nil"/>
              <w:bottom w:val="nil"/>
              <w:right w:val="nil"/>
            </w:tcBorders>
            <w:shd w:val="clear" w:color="auto" w:fill="auto"/>
            <w:noWrap/>
            <w:vAlign w:val="center"/>
            <w:hideMark/>
          </w:tcPr>
          <w:p w14:paraId="1F5C8554"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35,54</w:t>
            </w:r>
          </w:p>
        </w:tc>
        <w:tc>
          <w:tcPr>
            <w:tcW w:w="1411" w:type="dxa"/>
            <w:tcBorders>
              <w:top w:val="nil"/>
              <w:left w:val="nil"/>
              <w:bottom w:val="nil"/>
              <w:right w:val="nil"/>
            </w:tcBorders>
            <w:shd w:val="clear" w:color="auto" w:fill="auto"/>
            <w:noWrap/>
            <w:vAlign w:val="center"/>
            <w:hideMark/>
          </w:tcPr>
          <w:p w14:paraId="3B73B9CA"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8,67</w:t>
            </w:r>
          </w:p>
        </w:tc>
        <w:tc>
          <w:tcPr>
            <w:tcW w:w="1411" w:type="dxa"/>
            <w:tcBorders>
              <w:top w:val="nil"/>
              <w:left w:val="nil"/>
              <w:bottom w:val="nil"/>
              <w:right w:val="nil"/>
            </w:tcBorders>
            <w:shd w:val="clear" w:color="auto" w:fill="auto"/>
            <w:noWrap/>
            <w:vAlign w:val="center"/>
            <w:hideMark/>
          </w:tcPr>
          <w:p w14:paraId="61AB3ECA"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68,82%</w:t>
            </w:r>
          </w:p>
        </w:tc>
        <w:tc>
          <w:tcPr>
            <w:tcW w:w="1411" w:type="dxa"/>
            <w:tcBorders>
              <w:top w:val="nil"/>
              <w:left w:val="nil"/>
              <w:bottom w:val="nil"/>
              <w:right w:val="nil"/>
            </w:tcBorders>
            <w:shd w:val="clear" w:color="auto" w:fill="auto"/>
            <w:noWrap/>
            <w:vAlign w:val="center"/>
            <w:hideMark/>
          </w:tcPr>
          <w:p w14:paraId="0194C55F"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12</w:t>
            </w:r>
          </w:p>
        </w:tc>
      </w:tr>
      <w:tr w:rsidR="003530EF" w:rsidRPr="003530EF" w14:paraId="3CF4808B" w14:textId="77777777" w:rsidTr="003530EF">
        <w:trPr>
          <w:divId w:val="1220168188"/>
          <w:trHeight w:val="254"/>
        </w:trPr>
        <w:tc>
          <w:tcPr>
            <w:tcW w:w="632" w:type="dxa"/>
            <w:tcBorders>
              <w:top w:val="nil"/>
              <w:left w:val="nil"/>
              <w:bottom w:val="nil"/>
              <w:right w:val="nil"/>
            </w:tcBorders>
            <w:shd w:val="clear" w:color="auto" w:fill="auto"/>
            <w:noWrap/>
            <w:vAlign w:val="center"/>
            <w:hideMark/>
          </w:tcPr>
          <w:p w14:paraId="000BCEBA" w14:textId="77777777" w:rsidR="003530EF" w:rsidRPr="003530EF" w:rsidRDefault="003530EF" w:rsidP="003530EF">
            <w:pPr>
              <w:spacing w:line="240" w:lineRule="auto"/>
              <w:jc w:val="both"/>
              <w:outlineLvl w:val="9"/>
              <w:rPr>
                <w:rFonts w:cs="Calibri"/>
                <w:color w:val="000000"/>
                <w:lang w:val="de-AT" w:eastAsia="de-AT"/>
              </w:rPr>
            </w:pPr>
            <w:r w:rsidRPr="003530EF">
              <w:rPr>
                <w:rFonts w:cs="Calibri"/>
                <w:color w:val="000000"/>
                <w:lang w:val="de-AT" w:eastAsia="de-AT"/>
              </w:rPr>
              <w:t>Aug</w:t>
            </w:r>
          </w:p>
        </w:tc>
        <w:tc>
          <w:tcPr>
            <w:tcW w:w="1410" w:type="dxa"/>
            <w:tcBorders>
              <w:top w:val="nil"/>
              <w:left w:val="nil"/>
              <w:bottom w:val="nil"/>
              <w:right w:val="nil"/>
            </w:tcBorders>
            <w:shd w:val="clear" w:color="auto" w:fill="auto"/>
            <w:noWrap/>
            <w:vAlign w:val="center"/>
            <w:hideMark/>
          </w:tcPr>
          <w:p w14:paraId="6006702A"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68,6</w:t>
            </w:r>
          </w:p>
        </w:tc>
        <w:tc>
          <w:tcPr>
            <w:tcW w:w="1411" w:type="dxa"/>
            <w:tcBorders>
              <w:top w:val="nil"/>
              <w:left w:val="nil"/>
              <w:bottom w:val="nil"/>
              <w:right w:val="nil"/>
            </w:tcBorders>
            <w:shd w:val="clear" w:color="auto" w:fill="auto"/>
            <w:noWrap/>
            <w:vAlign w:val="center"/>
            <w:hideMark/>
          </w:tcPr>
          <w:p w14:paraId="7209D6BE"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20,86</w:t>
            </w:r>
          </w:p>
        </w:tc>
        <w:tc>
          <w:tcPr>
            <w:tcW w:w="1411" w:type="dxa"/>
            <w:tcBorders>
              <w:top w:val="nil"/>
              <w:left w:val="nil"/>
              <w:bottom w:val="nil"/>
              <w:right w:val="nil"/>
            </w:tcBorders>
            <w:shd w:val="clear" w:color="auto" w:fill="auto"/>
            <w:noWrap/>
            <w:vAlign w:val="center"/>
            <w:hideMark/>
          </w:tcPr>
          <w:p w14:paraId="7E803C8B"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35,35</w:t>
            </w:r>
          </w:p>
        </w:tc>
        <w:tc>
          <w:tcPr>
            <w:tcW w:w="1411" w:type="dxa"/>
            <w:tcBorders>
              <w:top w:val="nil"/>
              <w:left w:val="nil"/>
              <w:bottom w:val="nil"/>
              <w:right w:val="nil"/>
            </w:tcBorders>
            <w:shd w:val="clear" w:color="auto" w:fill="auto"/>
            <w:noWrap/>
            <w:vAlign w:val="center"/>
            <w:hideMark/>
          </w:tcPr>
          <w:p w14:paraId="189F94B6"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10,95</w:t>
            </w:r>
          </w:p>
        </w:tc>
        <w:tc>
          <w:tcPr>
            <w:tcW w:w="1411" w:type="dxa"/>
            <w:tcBorders>
              <w:top w:val="nil"/>
              <w:left w:val="nil"/>
              <w:bottom w:val="nil"/>
              <w:right w:val="nil"/>
            </w:tcBorders>
            <w:shd w:val="clear" w:color="auto" w:fill="auto"/>
            <w:noWrap/>
            <w:vAlign w:val="center"/>
            <w:hideMark/>
          </w:tcPr>
          <w:p w14:paraId="3D18D977"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74,57%</w:t>
            </w:r>
          </w:p>
        </w:tc>
        <w:tc>
          <w:tcPr>
            <w:tcW w:w="1411" w:type="dxa"/>
            <w:tcBorders>
              <w:top w:val="nil"/>
              <w:left w:val="nil"/>
              <w:bottom w:val="nil"/>
              <w:right w:val="nil"/>
            </w:tcBorders>
            <w:shd w:val="clear" w:color="auto" w:fill="auto"/>
            <w:noWrap/>
            <w:vAlign w:val="center"/>
            <w:hideMark/>
          </w:tcPr>
          <w:p w14:paraId="7D5B91C7"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9</w:t>
            </w:r>
          </w:p>
        </w:tc>
      </w:tr>
      <w:tr w:rsidR="003530EF" w:rsidRPr="003530EF" w14:paraId="63AD5963" w14:textId="77777777" w:rsidTr="003530EF">
        <w:trPr>
          <w:divId w:val="1220168188"/>
          <w:trHeight w:val="254"/>
        </w:trPr>
        <w:tc>
          <w:tcPr>
            <w:tcW w:w="632" w:type="dxa"/>
            <w:tcBorders>
              <w:top w:val="nil"/>
              <w:left w:val="nil"/>
              <w:bottom w:val="nil"/>
              <w:right w:val="nil"/>
            </w:tcBorders>
            <w:shd w:val="clear" w:color="auto" w:fill="auto"/>
            <w:noWrap/>
            <w:vAlign w:val="center"/>
            <w:hideMark/>
          </w:tcPr>
          <w:p w14:paraId="0AF43B14" w14:textId="77777777" w:rsidR="003530EF" w:rsidRPr="003530EF" w:rsidRDefault="003530EF" w:rsidP="003530EF">
            <w:pPr>
              <w:spacing w:line="240" w:lineRule="auto"/>
              <w:jc w:val="both"/>
              <w:outlineLvl w:val="9"/>
              <w:rPr>
                <w:rFonts w:cs="Calibri"/>
                <w:color w:val="000000"/>
                <w:lang w:val="de-AT" w:eastAsia="de-AT"/>
              </w:rPr>
            </w:pPr>
            <w:r w:rsidRPr="003530EF">
              <w:rPr>
                <w:rFonts w:cs="Calibri"/>
                <w:color w:val="000000"/>
                <w:lang w:val="de-AT" w:eastAsia="de-AT"/>
              </w:rPr>
              <w:t>Sep</w:t>
            </w:r>
          </w:p>
        </w:tc>
        <w:tc>
          <w:tcPr>
            <w:tcW w:w="1410" w:type="dxa"/>
            <w:tcBorders>
              <w:top w:val="nil"/>
              <w:left w:val="nil"/>
              <w:bottom w:val="nil"/>
              <w:right w:val="nil"/>
            </w:tcBorders>
            <w:shd w:val="clear" w:color="auto" w:fill="auto"/>
            <w:noWrap/>
            <w:vAlign w:val="center"/>
            <w:hideMark/>
          </w:tcPr>
          <w:p w14:paraId="568B14ED"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48</w:t>
            </w:r>
          </w:p>
        </w:tc>
        <w:tc>
          <w:tcPr>
            <w:tcW w:w="1411" w:type="dxa"/>
            <w:tcBorders>
              <w:top w:val="nil"/>
              <w:left w:val="nil"/>
              <w:bottom w:val="nil"/>
              <w:right w:val="nil"/>
            </w:tcBorders>
            <w:shd w:val="clear" w:color="auto" w:fill="auto"/>
            <w:noWrap/>
            <w:vAlign w:val="center"/>
            <w:hideMark/>
          </w:tcPr>
          <w:p w14:paraId="30AEBDD0"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13,78</w:t>
            </w:r>
          </w:p>
        </w:tc>
        <w:tc>
          <w:tcPr>
            <w:tcW w:w="1411" w:type="dxa"/>
            <w:tcBorders>
              <w:top w:val="nil"/>
              <w:left w:val="nil"/>
              <w:bottom w:val="nil"/>
              <w:right w:val="nil"/>
            </w:tcBorders>
            <w:shd w:val="clear" w:color="auto" w:fill="auto"/>
            <w:noWrap/>
            <w:vAlign w:val="center"/>
            <w:hideMark/>
          </w:tcPr>
          <w:p w14:paraId="3AB495C0"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27,53</w:t>
            </w:r>
          </w:p>
        </w:tc>
        <w:tc>
          <w:tcPr>
            <w:tcW w:w="1411" w:type="dxa"/>
            <w:tcBorders>
              <w:top w:val="nil"/>
              <w:left w:val="nil"/>
              <w:bottom w:val="nil"/>
              <w:right w:val="nil"/>
            </w:tcBorders>
            <w:shd w:val="clear" w:color="auto" w:fill="auto"/>
            <w:noWrap/>
            <w:vAlign w:val="center"/>
            <w:hideMark/>
          </w:tcPr>
          <w:p w14:paraId="3CE1C1A3"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0,16</w:t>
            </w:r>
          </w:p>
        </w:tc>
        <w:tc>
          <w:tcPr>
            <w:tcW w:w="1411" w:type="dxa"/>
            <w:tcBorders>
              <w:top w:val="nil"/>
              <w:left w:val="nil"/>
              <w:bottom w:val="nil"/>
              <w:right w:val="nil"/>
            </w:tcBorders>
            <w:shd w:val="clear" w:color="auto" w:fill="auto"/>
            <w:noWrap/>
            <w:vAlign w:val="center"/>
            <w:hideMark/>
          </w:tcPr>
          <w:p w14:paraId="3BCE70B8"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84,22%</w:t>
            </w:r>
          </w:p>
        </w:tc>
        <w:tc>
          <w:tcPr>
            <w:tcW w:w="1411" w:type="dxa"/>
            <w:tcBorders>
              <w:top w:val="nil"/>
              <w:left w:val="nil"/>
              <w:bottom w:val="nil"/>
              <w:right w:val="nil"/>
            </w:tcBorders>
            <w:shd w:val="clear" w:color="auto" w:fill="auto"/>
            <w:noWrap/>
            <w:vAlign w:val="bottom"/>
            <w:hideMark/>
          </w:tcPr>
          <w:p w14:paraId="79C708E6" w14:textId="77777777" w:rsidR="003530EF" w:rsidRPr="003530EF" w:rsidRDefault="003530EF" w:rsidP="00E80C7D">
            <w:pPr>
              <w:spacing w:line="240" w:lineRule="auto"/>
              <w:jc w:val="center"/>
              <w:outlineLvl w:val="9"/>
              <w:rPr>
                <w:rFonts w:cs="Calibri"/>
                <w:color w:val="000000"/>
                <w:lang w:val="de-AT" w:eastAsia="de-AT"/>
              </w:rPr>
            </w:pPr>
          </w:p>
        </w:tc>
      </w:tr>
      <w:tr w:rsidR="003530EF" w:rsidRPr="003530EF" w14:paraId="2E98BA77" w14:textId="77777777" w:rsidTr="003530EF">
        <w:trPr>
          <w:divId w:val="1220168188"/>
          <w:trHeight w:val="254"/>
        </w:trPr>
        <w:tc>
          <w:tcPr>
            <w:tcW w:w="632" w:type="dxa"/>
            <w:tcBorders>
              <w:top w:val="nil"/>
              <w:left w:val="nil"/>
              <w:bottom w:val="nil"/>
              <w:right w:val="nil"/>
            </w:tcBorders>
            <w:shd w:val="clear" w:color="auto" w:fill="auto"/>
            <w:noWrap/>
            <w:vAlign w:val="center"/>
            <w:hideMark/>
          </w:tcPr>
          <w:p w14:paraId="0C4B124B" w14:textId="77777777" w:rsidR="003530EF" w:rsidRPr="003530EF" w:rsidRDefault="003530EF" w:rsidP="003530EF">
            <w:pPr>
              <w:spacing w:line="240" w:lineRule="auto"/>
              <w:jc w:val="both"/>
              <w:outlineLvl w:val="9"/>
              <w:rPr>
                <w:rFonts w:cs="Calibri"/>
                <w:color w:val="000000"/>
                <w:lang w:val="de-AT" w:eastAsia="de-AT"/>
              </w:rPr>
            </w:pPr>
            <w:r w:rsidRPr="003530EF">
              <w:rPr>
                <w:rFonts w:cs="Calibri"/>
                <w:color w:val="000000"/>
                <w:lang w:val="de-AT" w:eastAsia="de-AT"/>
              </w:rPr>
              <w:t>Okt</w:t>
            </w:r>
          </w:p>
        </w:tc>
        <w:tc>
          <w:tcPr>
            <w:tcW w:w="1410" w:type="dxa"/>
            <w:tcBorders>
              <w:top w:val="nil"/>
              <w:left w:val="nil"/>
              <w:bottom w:val="nil"/>
              <w:right w:val="nil"/>
            </w:tcBorders>
            <w:shd w:val="clear" w:color="auto" w:fill="auto"/>
            <w:noWrap/>
            <w:vAlign w:val="center"/>
            <w:hideMark/>
          </w:tcPr>
          <w:p w14:paraId="37098D3B"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22,8</w:t>
            </w:r>
          </w:p>
        </w:tc>
        <w:tc>
          <w:tcPr>
            <w:tcW w:w="1411" w:type="dxa"/>
            <w:tcBorders>
              <w:top w:val="nil"/>
              <w:left w:val="nil"/>
              <w:bottom w:val="nil"/>
              <w:right w:val="nil"/>
            </w:tcBorders>
            <w:shd w:val="clear" w:color="auto" w:fill="auto"/>
            <w:noWrap/>
            <w:vAlign w:val="center"/>
            <w:hideMark/>
          </w:tcPr>
          <w:p w14:paraId="047BDCF0"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11,49</w:t>
            </w:r>
          </w:p>
        </w:tc>
        <w:tc>
          <w:tcPr>
            <w:tcW w:w="1411" w:type="dxa"/>
            <w:tcBorders>
              <w:top w:val="nil"/>
              <w:left w:val="nil"/>
              <w:bottom w:val="nil"/>
              <w:right w:val="nil"/>
            </w:tcBorders>
            <w:shd w:val="clear" w:color="auto" w:fill="auto"/>
            <w:noWrap/>
            <w:vAlign w:val="center"/>
            <w:hideMark/>
          </w:tcPr>
          <w:p w14:paraId="1ED7A820"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24,35</w:t>
            </w:r>
          </w:p>
        </w:tc>
        <w:tc>
          <w:tcPr>
            <w:tcW w:w="1411" w:type="dxa"/>
            <w:tcBorders>
              <w:top w:val="nil"/>
              <w:left w:val="nil"/>
              <w:bottom w:val="nil"/>
              <w:right w:val="nil"/>
            </w:tcBorders>
            <w:shd w:val="clear" w:color="auto" w:fill="auto"/>
            <w:noWrap/>
            <w:vAlign w:val="center"/>
            <w:hideMark/>
          </w:tcPr>
          <w:p w14:paraId="52598B4C"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-0,57</w:t>
            </w:r>
          </w:p>
        </w:tc>
        <w:tc>
          <w:tcPr>
            <w:tcW w:w="1411" w:type="dxa"/>
            <w:tcBorders>
              <w:top w:val="nil"/>
              <w:left w:val="nil"/>
              <w:bottom w:val="nil"/>
              <w:right w:val="nil"/>
            </w:tcBorders>
            <w:shd w:val="clear" w:color="auto" w:fill="auto"/>
            <w:noWrap/>
            <w:vAlign w:val="center"/>
            <w:hideMark/>
          </w:tcPr>
          <w:p w14:paraId="5041BAE0" w14:textId="77777777" w:rsidR="003530EF" w:rsidRPr="003530EF" w:rsidRDefault="003530EF" w:rsidP="00E80C7D">
            <w:pPr>
              <w:spacing w:line="240" w:lineRule="auto"/>
              <w:jc w:val="center"/>
              <w:outlineLvl w:val="9"/>
              <w:rPr>
                <w:rFonts w:cs="Calibri"/>
                <w:color w:val="000000"/>
                <w:lang w:val="de-AT" w:eastAsia="de-AT"/>
              </w:rPr>
            </w:pPr>
            <w:r w:rsidRPr="003530EF">
              <w:rPr>
                <w:rFonts w:cs="Calibri"/>
                <w:color w:val="000000"/>
                <w:lang w:val="de-AT" w:eastAsia="de-AT"/>
              </w:rPr>
              <w:t>88,78%</w:t>
            </w:r>
          </w:p>
        </w:tc>
        <w:tc>
          <w:tcPr>
            <w:tcW w:w="1411" w:type="dxa"/>
            <w:tcBorders>
              <w:top w:val="nil"/>
              <w:left w:val="nil"/>
              <w:bottom w:val="nil"/>
              <w:right w:val="nil"/>
            </w:tcBorders>
            <w:shd w:val="clear" w:color="auto" w:fill="auto"/>
            <w:noWrap/>
            <w:vAlign w:val="bottom"/>
            <w:hideMark/>
          </w:tcPr>
          <w:p w14:paraId="04AAFC2B" w14:textId="77777777" w:rsidR="003530EF" w:rsidRPr="003530EF" w:rsidRDefault="003530EF" w:rsidP="00E80C7D">
            <w:pPr>
              <w:spacing w:line="240" w:lineRule="auto"/>
              <w:jc w:val="center"/>
              <w:outlineLvl w:val="9"/>
              <w:rPr>
                <w:rFonts w:cs="Calibri"/>
                <w:color w:val="000000"/>
                <w:lang w:val="de-AT" w:eastAsia="de-AT"/>
              </w:rPr>
            </w:pPr>
          </w:p>
        </w:tc>
      </w:tr>
      <w:tr w:rsidR="003530EF" w:rsidRPr="003530EF" w14:paraId="0F8C71E1" w14:textId="77777777" w:rsidTr="003530EF">
        <w:trPr>
          <w:divId w:val="1220168188"/>
          <w:trHeight w:val="254"/>
        </w:trPr>
        <w:tc>
          <w:tcPr>
            <w:tcW w:w="632" w:type="dxa"/>
            <w:tcBorders>
              <w:top w:val="nil"/>
              <w:left w:val="nil"/>
              <w:bottom w:val="nil"/>
              <w:right w:val="nil"/>
            </w:tcBorders>
            <w:shd w:val="clear" w:color="auto" w:fill="auto"/>
            <w:noWrap/>
            <w:vAlign w:val="center"/>
            <w:hideMark/>
          </w:tcPr>
          <w:p w14:paraId="34362D97" w14:textId="77777777" w:rsidR="003530EF" w:rsidRPr="003530EF" w:rsidRDefault="003530EF" w:rsidP="003530EF">
            <w:pPr>
              <w:spacing w:line="240" w:lineRule="auto"/>
              <w:jc w:val="both"/>
              <w:outlineLvl w:val="9"/>
              <w:rPr>
                <w:rFonts w:cs="Calibri"/>
                <w:color w:val="000000"/>
                <w:lang w:val="de-AT" w:eastAsia="de-AT"/>
              </w:rPr>
            </w:pPr>
            <w:r w:rsidRPr="003530EF">
              <w:rPr>
                <w:rFonts w:cs="Calibri"/>
                <w:color w:val="000000"/>
                <w:lang w:val="de-AT" w:eastAsia="de-AT"/>
              </w:rPr>
              <w:t>Nov</w:t>
            </w:r>
          </w:p>
        </w:tc>
        <w:tc>
          <w:tcPr>
            <w:tcW w:w="1410" w:type="dxa"/>
            <w:tcBorders>
              <w:top w:val="nil"/>
              <w:left w:val="nil"/>
              <w:bottom w:val="nil"/>
              <w:right w:val="nil"/>
            </w:tcBorders>
            <w:shd w:val="clear" w:color="auto" w:fill="auto"/>
            <w:noWrap/>
            <w:vAlign w:val="center"/>
            <w:hideMark/>
          </w:tcPr>
          <w:p w14:paraId="1D7FC2D7" w14:textId="0560A2B4" w:rsidR="003530EF" w:rsidRPr="003530EF" w:rsidRDefault="00586937" w:rsidP="00E80C7D">
            <w:pPr>
              <w:spacing w:line="240" w:lineRule="auto"/>
              <w:jc w:val="center"/>
              <w:outlineLvl w:val="9"/>
              <w:rPr>
                <w:rFonts w:cs="Calibri"/>
                <w:color w:val="000000"/>
                <w:lang w:val="de-AT" w:eastAsia="de-AT"/>
              </w:rPr>
            </w:pPr>
            <w:r>
              <w:rPr>
                <w:rFonts w:cs="Calibri"/>
                <w:color w:val="000000"/>
                <w:lang w:val="de-AT" w:eastAsia="de-AT"/>
              </w:rPr>
              <w:t>38,6</w:t>
            </w:r>
          </w:p>
        </w:tc>
        <w:tc>
          <w:tcPr>
            <w:tcW w:w="1411" w:type="dxa"/>
            <w:tcBorders>
              <w:top w:val="nil"/>
              <w:left w:val="nil"/>
              <w:bottom w:val="nil"/>
              <w:right w:val="nil"/>
            </w:tcBorders>
            <w:shd w:val="clear" w:color="auto" w:fill="auto"/>
            <w:noWrap/>
            <w:vAlign w:val="center"/>
            <w:hideMark/>
          </w:tcPr>
          <w:p w14:paraId="4962626F" w14:textId="5BDC8DE1" w:rsidR="003530EF" w:rsidRPr="00586937" w:rsidRDefault="00586937" w:rsidP="00E80C7D">
            <w:pPr>
              <w:spacing w:line="240" w:lineRule="auto"/>
              <w:jc w:val="center"/>
              <w:outlineLvl w:val="9"/>
              <w:rPr>
                <w:rFonts w:cs="Calibri"/>
                <w:color w:val="000000"/>
                <w:lang w:val="de-AT" w:eastAsia="de-AT"/>
              </w:rPr>
            </w:pPr>
            <w:r w:rsidRPr="00586937">
              <w:rPr>
                <w:rFonts w:cs="Calibri"/>
                <w:color w:val="000000"/>
                <w:lang w:val="de-AT" w:eastAsia="de-AT"/>
              </w:rPr>
              <w:t>5,6</w:t>
            </w:r>
          </w:p>
        </w:tc>
        <w:tc>
          <w:tcPr>
            <w:tcW w:w="1411" w:type="dxa"/>
            <w:tcBorders>
              <w:top w:val="nil"/>
              <w:left w:val="nil"/>
              <w:bottom w:val="nil"/>
              <w:right w:val="nil"/>
            </w:tcBorders>
            <w:shd w:val="clear" w:color="auto" w:fill="auto"/>
            <w:noWrap/>
            <w:vAlign w:val="center"/>
            <w:hideMark/>
          </w:tcPr>
          <w:p w14:paraId="5E671C3B" w14:textId="55CC4CBC" w:rsidR="003530EF" w:rsidRPr="00586937" w:rsidRDefault="00586937" w:rsidP="00E80C7D">
            <w:pPr>
              <w:spacing w:line="240" w:lineRule="auto"/>
              <w:jc w:val="center"/>
              <w:outlineLvl w:val="9"/>
              <w:rPr>
                <w:rFonts w:cs="Calibri"/>
                <w:color w:val="000000"/>
                <w:lang w:val="de-AT" w:eastAsia="de-AT"/>
              </w:rPr>
            </w:pPr>
            <w:r>
              <w:rPr>
                <w:rFonts w:cs="Calibri"/>
                <w:color w:val="000000"/>
                <w:lang w:val="de-AT" w:eastAsia="de-AT"/>
              </w:rPr>
              <w:t>18,9</w:t>
            </w:r>
          </w:p>
        </w:tc>
        <w:tc>
          <w:tcPr>
            <w:tcW w:w="1411" w:type="dxa"/>
            <w:tcBorders>
              <w:top w:val="nil"/>
              <w:left w:val="nil"/>
              <w:bottom w:val="nil"/>
              <w:right w:val="nil"/>
            </w:tcBorders>
            <w:shd w:val="clear" w:color="auto" w:fill="auto"/>
            <w:noWrap/>
            <w:vAlign w:val="center"/>
            <w:hideMark/>
          </w:tcPr>
          <w:p w14:paraId="34B2F075" w14:textId="21DF8A87" w:rsidR="003530EF" w:rsidRPr="00586937" w:rsidRDefault="00586937" w:rsidP="00E80C7D">
            <w:pPr>
              <w:spacing w:line="240" w:lineRule="auto"/>
              <w:jc w:val="center"/>
              <w:outlineLvl w:val="9"/>
              <w:rPr>
                <w:rFonts w:cs="Calibri"/>
                <w:color w:val="000000"/>
                <w:lang w:val="de-AT" w:eastAsia="de-AT"/>
              </w:rPr>
            </w:pPr>
            <w:r>
              <w:rPr>
                <w:rFonts w:cs="Calibri"/>
                <w:color w:val="000000"/>
                <w:lang w:val="de-AT" w:eastAsia="de-AT"/>
              </w:rPr>
              <w:t>-3,2</w:t>
            </w:r>
          </w:p>
        </w:tc>
        <w:tc>
          <w:tcPr>
            <w:tcW w:w="1411" w:type="dxa"/>
            <w:tcBorders>
              <w:top w:val="nil"/>
              <w:left w:val="nil"/>
              <w:bottom w:val="nil"/>
              <w:right w:val="nil"/>
            </w:tcBorders>
            <w:shd w:val="clear" w:color="auto" w:fill="auto"/>
            <w:noWrap/>
            <w:vAlign w:val="center"/>
            <w:hideMark/>
          </w:tcPr>
          <w:p w14:paraId="4FBF76FE" w14:textId="4BC0A13E" w:rsidR="003530EF" w:rsidRPr="00586937" w:rsidRDefault="00586937" w:rsidP="00E80C7D">
            <w:pPr>
              <w:spacing w:line="240" w:lineRule="auto"/>
              <w:jc w:val="center"/>
              <w:outlineLvl w:val="9"/>
              <w:rPr>
                <w:rFonts w:cs="Calibri"/>
                <w:color w:val="000000"/>
                <w:lang w:val="de-AT" w:eastAsia="de-AT"/>
              </w:rPr>
            </w:pPr>
            <w:r>
              <w:rPr>
                <w:rFonts w:cs="Calibri"/>
                <w:color w:val="000000"/>
                <w:lang w:val="de-AT" w:eastAsia="de-AT"/>
              </w:rPr>
              <w:t>95,02%</w:t>
            </w:r>
          </w:p>
        </w:tc>
        <w:tc>
          <w:tcPr>
            <w:tcW w:w="1411" w:type="dxa"/>
            <w:tcBorders>
              <w:top w:val="nil"/>
              <w:left w:val="nil"/>
              <w:bottom w:val="nil"/>
              <w:right w:val="nil"/>
            </w:tcBorders>
            <w:shd w:val="clear" w:color="auto" w:fill="auto"/>
            <w:noWrap/>
            <w:vAlign w:val="bottom"/>
            <w:hideMark/>
          </w:tcPr>
          <w:p w14:paraId="7F44DAD7" w14:textId="77777777" w:rsidR="003530EF" w:rsidRPr="003530EF" w:rsidRDefault="003530EF" w:rsidP="00E80C7D">
            <w:pPr>
              <w:spacing w:line="240" w:lineRule="auto"/>
              <w:jc w:val="center"/>
              <w:outlineLvl w:val="9"/>
              <w:rPr>
                <w:rFonts w:ascii="Times New Roman" w:hAnsi="Times New Roman"/>
                <w:lang w:val="de-AT" w:eastAsia="de-AT"/>
              </w:rPr>
            </w:pPr>
          </w:p>
        </w:tc>
      </w:tr>
      <w:tr w:rsidR="003530EF" w:rsidRPr="003530EF" w14:paraId="5229F1B0" w14:textId="77777777" w:rsidTr="003530EF">
        <w:trPr>
          <w:divId w:val="1220168188"/>
          <w:trHeight w:val="254"/>
        </w:trPr>
        <w:tc>
          <w:tcPr>
            <w:tcW w:w="632" w:type="dxa"/>
            <w:tcBorders>
              <w:top w:val="nil"/>
              <w:left w:val="nil"/>
              <w:bottom w:val="nil"/>
              <w:right w:val="nil"/>
            </w:tcBorders>
            <w:shd w:val="clear" w:color="auto" w:fill="auto"/>
            <w:noWrap/>
            <w:vAlign w:val="center"/>
            <w:hideMark/>
          </w:tcPr>
          <w:p w14:paraId="19F97D50" w14:textId="77777777" w:rsidR="003530EF" w:rsidRPr="003530EF" w:rsidRDefault="003530EF" w:rsidP="003530EF">
            <w:pPr>
              <w:spacing w:line="240" w:lineRule="auto"/>
              <w:jc w:val="both"/>
              <w:outlineLvl w:val="9"/>
              <w:rPr>
                <w:rFonts w:cs="Calibri"/>
                <w:color w:val="000000"/>
                <w:lang w:val="de-AT" w:eastAsia="de-AT"/>
              </w:rPr>
            </w:pPr>
            <w:r w:rsidRPr="003530EF">
              <w:rPr>
                <w:rFonts w:cs="Calibri"/>
                <w:color w:val="000000"/>
                <w:lang w:val="de-AT" w:eastAsia="de-AT"/>
              </w:rPr>
              <w:t>Dez</w:t>
            </w:r>
          </w:p>
        </w:tc>
        <w:tc>
          <w:tcPr>
            <w:tcW w:w="1410" w:type="dxa"/>
            <w:tcBorders>
              <w:top w:val="nil"/>
              <w:left w:val="nil"/>
              <w:bottom w:val="nil"/>
              <w:right w:val="nil"/>
            </w:tcBorders>
            <w:shd w:val="clear" w:color="auto" w:fill="auto"/>
            <w:noWrap/>
            <w:vAlign w:val="center"/>
            <w:hideMark/>
          </w:tcPr>
          <w:p w14:paraId="13491EDC" w14:textId="77777777" w:rsidR="003530EF" w:rsidRPr="003530EF" w:rsidRDefault="003530EF" w:rsidP="00E80C7D">
            <w:pPr>
              <w:spacing w:line="240" w:lineRule="auto"/>
              <w:jc w:val="center"/>
              <w:outlineLvl w:val="9"/>
              <w:rPr>
                <w:rFonts w:cs="Calibri"/>
                <w:color w:val="000000"/>
                <w:lang w:val="de-AT" w:eastAsia="de-AT"/>
              </w:rPr>
            </w:pPr>
          </w:p>
        </w:tc>
        <w:tc>
          <w:tcPr>
            <w:tcW w:w="1411" w:type="dxa"/>
            <w:tcBorders>
              <w:top w:val="nil"/>
              <w:left w:val="nil"/>
              <w:bottom w:val="nil"/>
              <w:right w:val="nil"/>
            </w:tcBorders>
            <w:shd w:val="clear" w:color="auto" w:fill="auto"/>
            <w:noWrap/>
            <w:vAlign w:val="center"/>
            <w:hideMark/>
          </w:tcPr>
          <w:p w14:paraId="7731AB9F" w14:textId="77777777" w:rsidR="003530EF" w:rsidRPr="003530EF" w:rsidRDefault="003530EF" w:rsidP="00E80C7D">
            <w:pPr>
              <w:spacing w:line="240" w:lineRule="auto"/>
              <w:jc w:val="center"/>
              <w:outlineLvl w:val="9"/>
              <w:rPr>
                <w:rFonts w:ascii="Times New Roman" w:hAnsi="Times New Roman"/>
                <w:lang w:val="de-AT" w:eastAsia="de-AT"/>
              </w:rPr>
            </w:pPr>
          </w:p>
        </w:tc>
        <w:tc>
          <w:tcPr>
            <w:tcW w:w="1411" w:type="dxa"/>
            <w:tcBorders>
              <w:top w:val="nil"/>
              <w:left w:val="nil"/>
              <w:bottom w:val="nil"/>
              <w:right w:val="nil"/>
            </w:tcBorders>
            <w:shd w:val="clear" w:color="auto" w:fill="auto"/>
            <w:noWrap/>
            <w:vAlign w:val="center"/>
            <w:hideMark/>
          </w:tcPr>
          <w:p w14:paraId="4791DA76" w14:textId="77777777" w:rsidR="003530EF" w:rsidRPr="003530EF" w:rsidRDefault="003530EF" w:rsidP="00E80C7D">
            <w:pPr>
              <w:spacing w:line="240" w:lineRule="auto"/>
              <w:jc w:val="center"/>
              <w:outlineLvl w:val="9"/>
              <w:rPr>
                <w:rFonts w:ascii="Times New Roman" w:hAnsi="Times New Roman"/>
                <w:lang w:val="de-AT" w:eastAsia="de-AT"/>
              </w:rPr>
            </w:pPr>
          </w:p>
        </w:tc>
        <w:tc>
          <w:tcPr>
            <w:tcW w:w="1411" w:type="dxa"/>
            <w:tcBorders>
              <w:top w:val="nil"/>
              <w:left w:val="nil"/>
              <w:bottom w:val="nil"/>
              <w:right w:val="nil"/>
            </w:tcBorders>
            <w:shd w:val="clear" w:color="auto" w:fill="auto"/>
            <w:noWrap/>
            <w:vAlign w:val="center"/>
            <w:hideMark/>
          </w:tcPr>
          <w:p w14:paraId="4176C9B1" w14:textId="77777777" w:rsidR="003530EF" w:rsidRPr="003530EF" w:rsidRDefault="003530EF" w:rsidP="00E80C7D">
            <w:pPr>
              <w:spacing w:line="240" w:lineRule="auto"/>
              <w:jc w:val="center"/>
              <w:outlineLvl w:val="9"/>
              <w:rPr>
                <w:rFonts w:ascii="Times New Roman" w:hAnsi="Times New Roman"/>
                <w:lang w:val="de-AT" w:eastAsia="de-AT"/>
              </w:rPr>
            </w:pPr>
          </w:p>
        </w:tc>
        <w:tc>
          <w:tcPr>
            <w:tcW w:w="1411" w:type="dxa"/>
            <w:tcBorders>
              <w:top w:val="nil"/>
              <w:left w:val="nil"/>
              <w:bottom w:val="nil"/>
              <w:right w:val="nil"/>
            </w:tcBorders>
            <w:shd w:val="clear" w:color="auto" w:fill="auto"/>
            <w:noWrap/>
            <w:vAlign w:val="center"/>
            <w:hideMark/>
          </w:tcPr>
          <w:p w14:paraId="05246991" w14:textId="77777777" w:rsidR="003530EF" w:rsidRPr="003530EF" w:rsidRDefault="003530EF" w:rsidP="00E80C7D">
            <w:pPr>
              <w:spacing w:line="240" w:lineRule="auto"/>
              <w:jc w:val="center"/>
              <w:outlineLvl w:val="9"/>
              <w:rPr>
                <w:rFonts w:ascii="Times New Roman" w:hAnsi="Times New Roman"/>
                <w:lang w:val="de-AT" w:eastAsia="de-AT"/>
              </w:rPr>
            </w:pPr>
          </w:p>
        </w:tc>
        <w:tc>
          <w:tcPr>
            <w:tcW w:w="1411" w:type="dxa"/>
            <w:tcBorders>
              <w:top w:val="nil"/>
              <w:left w:val="nil"/>
              <w:bottom w:val="nil"/>
              <w:right w:val="nil"/>
            </w:tcBorders>
            <w:shd w:val="clear" w:color="auto" w:fill="auto"/>
            <w:noWrap/>
            <w:vAlign w:val="bottom"/>
            <w:hideMark/>
          </w:tcPr>
          <w:p w14:paraId="60F2801E" w14:textId="77777777" w:rsidR="003530EF" w:rsidRPr="003530EF" w:rsidRDefault="003530EF" w:rsidP="00E80C7D">
            <w:pPr>
              <w:spacing w:line="240" w:lineRule="auto"/>
              <w:jc w:val="center"/>
              <w:outlineLvl w:val="9"/>
              <w:rPr>
                <w:rFonts w:ascii="Times New Roman" w:hAnsi="Times New Roman"/>
                <w:lang w:val="de-AT" w:eastAsia="de-AT"/>
              </w:rPr>
            </w:pPr>
          </w:p>
        </w:tc>
      </w:tr>
      <w:tr w:rsidR="003530EF" w:rsidRPr="003530EF" w14:paraId="56C775F7" w14:textId="77777777" w:rsidTr="003530EF">
        <w:trPr>
          <w:divId w:val="1220168188"/>
          <w:trHeight w:val="254"/>
        </w:trPr>
        <w:tc>
          <w:tcPr>
            <w:tcW w:w="632" w:type="dxa"/>
            <w:tcBorders>
              <w:top w:val="nil"/>
              <w:left w:val="nil"/>
              <w:bottom w:val="nil"/>
              <w:right w:val="nil"/>
            </w:tcBorders>
            <w:shd w:val="clear" w:color="auto" w:fill="auto"/>
            <w:noWrap/>
            <w:vAlign w:val="bottom"/>
            <w:hideMark/>
          </w:tcPr>
          <w:p w14:paraId="2E29D145" w14:textId="77777777" w:rsidR="003530EF" w:rsidRPr="003530EF" w:rsidRDefault="003530EF" w:rsidP="003530EF">
            <w:pPr>
              <w:spacing w:line="240" w:lineRule="auto"/>
              <w:outlineLvl w:val="9"/>
              <w:rPr>
                <w:rFonts w:ascii="Times New Roman" w:hAnsi="Times New Roman"/>
                <w:lang w:val="de-AT" w:eastAsia="de-AT"/>
              </w:rPr>
            </w:pPr>
          </w:p>
        </w:tc>
        <w:tc>
          <w:tcPr>
            <w:tcW w:w="1410" w:type="dxa"/>
            <w:tcBorders>
              <w:top w:val="nil"/>
              <w:left w:val="nil"/>
              <w:bottom w:val="nil"/>
              <w:right w:val="nil"/>
            </w:tcBorders>
            <w:shd w:val="clear" w:color="auto" w:fill="auto"/>
            <w:noWrap/>
            <w:vAlign w:val="bottom"/>
            <w:hideMark/>
          </w:tcPr>
          <w:p w14:paraId="154DFFDD" w14:textId="2C4B08C4" w:rsidR="003530EF" w:rsidRPr="003530EF" w:rsidRDefault="00196652" w:rsidP="00E80C7D">
            <w:pPr>
              <w:spacing w:line="240" w:lineRule="auto"/>
              <w:jc w:val="center"/>
              <w:outlineLvl w:val="9"/>
              <w:rPr>
                <w:rFonts w:ascii="Calibri" w:hAnsi="Calibri" w:cs="Calibri"/>
                <w:color w:val="000000"/>
                <w:sz w:val="22"/>
                <w:szCs w:val="22"/>
                <w:lang w:val="de-AT" w:eastAsia="de-AT"/>
              </w:rPr>
            </w:pPr>
            <w:r>
              <w:rPr>
                <w:rFonts w:ascii="Calibri" w:hAnsi="Calibri" w:cs="Calibri"/>
                <w:color w:val="000000"/>
                <w:sz w:val="22"/>
                <w:szCs w:val="22"/>
                <w:lang w:val="de-AT" w:eastAsia="de-AT"/>
              </w:rPr>
              <w:t>533,2</w:t>
            </w:r>
          </w:p>
        </w:tc>
        <w:tc>
          <w:tcPr>
            <w:tcW w:w="1411" w:type="dxa"/>
            <w:tcBorders>
              <w:top w:val="nil"/>
              <w:left w:val="nil"/>
              <w:bottom w:val="nil"/>
              <w:right w:val="nil"/>
            </w:tcBorders>
            <w:shd w:val="clear" w:color="auto" w:fill="auto"/>
            <w:noWrap/>
            <w:vAlign w:val="bottom"/>
            <w:hideMark/>
          </w:tcPr>
          <w:p w14:paraId="6C5D72CF" w14:textId="77777777" w:rsidR="003530EF" w:rsidRPr="003530EF" w:rsidRDefault="003530EF" w:rsidP="003530EF">
            <w:pPr>
              <w:spacing w:line="240" w:lineRule="auto"/>
              <w:jc w:val="right"/>
              <w:outlineLvl w:val="9"/>
              <w:rPr>
                <w:rFonts w:ascii="Calibri" w:hAnsi="Calibri" w:cs="Calibri"/>
                <w:color w:val="000000"/>
                <w:sz w:val="22"/>
                <w:szCs w:val="22"/>
                <w:lang w:val="de-AT" w:eastAsia="de-AT"/>
              </w:rPr>
            </w:pPr>
          </w:p>
        </w:tc>
        <w:tc>
          <w:tcPr>
            <w:tcW w:w="1411" w:type="dxa"/>
            <w:tcBorders>
              <w:top w:val="nil"/>
              <w:left w:val="nil"/>
              <w:bottom w:val="nil"/>
              <w:right w:val="nil"/>
            </w:tcBorders>
            <w:shd w:val="clear" w:color="auto" w:fill="auto"/>
            <w:noWrap/>
            <w:vAlign w:val="bottom"/>
            <w:hideMark/>
          </w:tcPr>
          <w:p w14:paraId="580A71DF" w14:textId="77777777" w:rsidR="003530EF" w:rsidRPr="003530EF" w:rsidRDefault="003530EF" w:rsidP="003530EF">
            <w:pPr>
              <w:spacing w:line="240" w:lineRule="auto"/>
              <w:outlineLvl w:val="9"/>
              <w:rPr>
                <w:rFonts w:ascii="Times New Roman" w:hAnsi="Times New Roman"/>
                <w:lang w:val="de-AT" w:eastAsia="de-AT"/>
              </w:rPr>
            </w:pPr>
          </w:p>
        </w:tc>
        <w:tc>
          <w:tcPr>
            <w:tcW w:w="1411" w:type="dxa"/>
            <w:tcBorders>
              <w:top w:val="nil"/>
              <w:left w:val="nil"/>
              <w:bottom w:val="nil"/>
              <w:right w:val="nil"/>
            </w:tcBorders>
            <w:shd w:val="clear" w:color="auto" w:fill="auto"/>
            <w:noWrap/>
            <w:vAlign w:val="bottom"/>
            <w:hideMark/>
          </w:tcPr>
          <w:p w14:paraId="23BF6FD3" w14:textId="77777777" w:rsidR="003530EF" w:rsidRPr="003530EF" w:rsidRDefault="003530EF" w:rsidP="003530EF">
            <w:pPr>
              <w:spacing w:line="240" w:lineRule="auto"/>
              <w:outlineLvl w:val="9"/>
              <w:rPr>
                <w:rFonts w:ascii="Times New Roman" w:hAnsi="Times New Roman"/>
                <w:lang w:val="de-AT" w:eastAsia="de-AT"/>
              </w:rPr>
            </w:pPr>
          </w:p>
        </w:tc>
        <w:tc>
          <w:tcPr>
            <w:tcW w:w="1411" w:type="dxa"/>
            <w:tcBorders>
              <w:top w:val="nil"/>
              <w:left w:val="nil"/>
              <w:bottom w:val="nil"/>
              <w:right w:val="nil"/>
            </w:tcBorders>
            <w:shd w:val="clear" w:color="auto" w:fill="auto"/>
            <w:noWrap/>
            <w:vAlign w:val="bottom"/>
            <w:hideMark/>
          </w:tcPr>
          <w:p w14:paraId="0231B624" w14:textId="77777777" w:rsidR="003530EF" w:rsidRPr="003530EF" w:rsidRDefault="003530EF" w:rsidP="003530EF">
            <w:pPr>
              <w:spacing w:line="240" w:lineRule="auto"/>
              <w:outlineLvl w:val="9"/>
              <w:rPr>
                <w:rFonts w:ascii="Times New Roman" w:hAnsi="Times New Roman"/>
                <w:lang w:val="de-AT" w:eastAsia="de-AT"/>
              </w:rPr>
            </w:pPr>
          </w:p>
        </w:tc>
        <w:tc>
          <w:tcPr>
            <w:tcW w:w="1411" w:type="dxa"/>
            <w:tcBorders>
              <w:top w:val="nil"/>
              <w:left w:val="nil"/>
              <w:bottom w:val="nil"/>
              <w:right w:val="nil"/>
            </w:tcBorders>
            <w:shd w:val="clear" w:color="auto" w:fill="auto"/>
            <w:noWrap/>
            <w:vAlign w:val="bottom"/>
            <w:hideMark/>
          </w:tcPr>
          <w:p w14:paraId="4825374E" w14:textId="77777777" w:rsidR="003530EF" w:rsidRPr="003530EF" w:rsidRDefault="003530EF" w:rsidP="003530EF">
            <w:pPr>
              <w:spacing w:line="240" w:lineRule="auto"/>
              <w:outlineLvl w:val="9"/>
              <w:rPr>
                <w:rFonts w:ascii="Times New Roman" w:hAnsi="Times New Roman"/>
                <w:lang w:val="de-AT" w:eastAsia="de-AT"/>
              </w:rPr>
            </w:pPr>
          </w:p>
        </w:tc>
      </w:tr>
      <w:tr w:rsidR="00027D86" w:rsidRPr="003530EF" w14:paraId="0726CD26" w14:textId="77777777" w:rsidTr="003530EF">
        <w:trPr>
          <w:divId w:val="1220168188"/>
          <w:trHeight w:val="254"/>
        </w:trPr>
        <w:tc>
          <w:tcPr>
            <w:tcW w:w="632" w:type="dxa"/>
            <w:tcBorders>
              <w:top w:val="nil"/>
              <w:left w:val="nil"/>
              <w:bottom w:val="nil"/>
              <w:right w:val="nil"/>
            </w:tcBorders>
            <w:shd w:val="clear" w:color="auto" w:fill="auto"/>
            <w:noWrap/>
            <w:vAlign w:val="bottom"/>
          </w:tcPr>
          <w:p w14:paraId="688E2766" w14:textId="77777777" w:rsidR="00027D86" w:rsidRPr="003530EF" w:rsidRDefault="00027D86" w:rsidP="003530EF">
            <w:pPr>
              <w:spacing w:line="240" w:lineRule="auto"/>
              <w:outlineLvl w:val="9"/>
              <w:rPr>
                <w:rFonts w:ascii="Times New Roman" w:hAnsi="Times New Roman"/>
                <w:lang w:val="de-AT" w:eastAsia="de-AT"/>
              </w:rPr>
            </w:pPr>
          </w:p>
        </w:tc>
        <w:tc>
          <w:tcPr>
            <w:tcW w:w="1410" w:type="dxa"/>
            <w:tcBorders>
              <w:top w:val="nil"/>
              <w:left w:val="nil"/>
              <w:bottom w:val="nil"/>
              <w:right w:val="nil"/>
            </w:tcBorders>
            <w:shd w:val="clear" w:color="auto" w:fill="auto"/>
            <w:noWrap/>
            <w:vAlign w:val="bottom"/>
          </w:tcPr>
          <w:p w14:paraId="308A5A68" w14:textId="77777777" w:rsidR="00027D86" w:rsidRDefault="00027D86" w:rsidP="003530EF">
            <w:pPr>
              <w:spacing w:line="240" w:lineRule="auto"/>
              <w:outlineLvl w:val="9"/>
              <w:rPr>
                <w:rFonts w:ascii="Calibri" w:hAnsi="Calibri" w:cs="Calibri"/>
                <w:color w:val="000000"/>
                <w:sz w:val="22"/>
                <w:szCs w:val="22"/>
                <w:lang w:val="de-AT" w:eastAsia="de-AT"/>
              </w:rPr>
            </w:pPr>
          </w:p>
        </w:tc>
        <w:tc>
          <w:tcPr>
            <w:tcW w:w="1411" w:type="dxa"/>
            <w:tcBorders>
              <w:top w:val="nil"/>
              <w:left w:val="nil"/>
              <w:bottom w:val="nil"/>
              <w:right w:val="nil"/>
            </w:tcBorders>
            <w:shd w:val="clear" w:color="auto" w:fill="auto"/>
            <w:noWrap/>
            <w:vAlign w:val="bottom"/>
          </w:tcPr>
          <w:p w14:paraId="46BB2644" w14:textId="77777777" w:rsidR="00027D86" w:rsidRPr="003530EF" w:rsidRDefault="00027D86" w:rsidP="003530EF">
            <w:pPr>
              <w:spacing w:line="240" w:lineRule="auto"/>
              <w:jc w:val="right"/>
              <w:outlineLvl w:val="9"/>
              <w:rPr>
                <w:rFonts w:ascii="Calibri" w:hAnsi="Calibri" w:cs="Calibri"/>
                <w:color w:val="000000"/>
                <w:sz w:val="22"/>
                <w:szCs w:val="22"/>
                <w:lang w:val="de-AT" w:eastAsia="de-AT"/>
              </w:rPr>
            </w:pPr>
          </w:p>
        </w:tc>
        <w:tc>
          <w:tcPr>
            <w:tcW w:w="1411" w:type="dxa"/>
            <w:tcBorders>
              <w:top w:val="nil"/>
              <w:left w:val="nil"/>
              <w:bottom w:val="nil"/>
              <w:right w:val="nil"/>
            </w:tcBorders>
            <w:shd w:val="clear" w:color="auto" w:fill="auto"/>
            <w:noWrap/>
            <w:vAlign w:val="bottom"/>
          </w:tcPr>
          <w:p w14:paraId="14B7DA6B" w14:textId="77777777" w:rsidR="00027D86" w:rsidRPr="003530EF" w:rsidRDefault="00027D86" w:rsidP="003530EF">
            <w:pPr>
              <w:spacing w:line="240" w:lineRule="auto"/>
              <w:outlineLvl w:val="9"/>
              <w:rPr>
                <w:rFonts w:ascii="Times New Roman" w:hAnsi="Times New Roman"/>
                <w:lang w:val="de-AT" w:eastAsia="de-AT"/>
              </w:rPr>
            </w:pPr>
          </w:p>
        </w:tc>
        <w:tc>
          <w:tcPr>
            <w:tcW w:w="1411" w:type="dxa"/>
            <w:tcBorders>
              <w:top w:val="nil"/>
              <w:left w:val="nil"/>
              <w:bottom w:val="nil"/>
              <w:right w:val="nil"/>
            </w:tcBorders>
            <w:shd w:val="clear" w:color="auto" w:fill="auto"/>
            <w:noWrap/>
            <w:vAlign w:val="bottom"/>
          </w:tcPr>
          <w:p w14:paraId="6C42FAEF" w14:textId="77777777" w:rsidR="00027D86" w:rsidRPr="003530EF" w:rsidRDefault="00027D86" w:rsidP="003530EF">
            <w:pPr>
              <w:spacing w:line="240" w:lineRule="auto"/>
              <w:outlineLvl w:val="9"/>
              <w:rPr>
                <w:rFonts w:ascii="Times New Roman" w:hAnsi="Times New Roman"/>
                <w:lang w:val="de-AT" w:eastAsia="de-AT"/>
              </w:rPr>
            </w:pPr>
          </w:p>
        </w:tc>
        <w:tc>
          <w:tcPr>
            <w:tcW w:w="1411" w:type="dxa"/>
            <w:tcBorders>
              <w:top w:val="nil"/>
              <w:left w:val="nil"/>
              <w:bottom w:val="nil"/>
              <w:right w:val="nil"/>
            </w:tcBorders>
            <w:shd w:val="clear" w:color="auto" w:fill="auto"/>
            <w:noWrap/>
            <w:vAlign w:val="bottom"/>
          </w:tcPr>
          <w:p w14:paraId="60A18847" w14:textId="77777777" w:rsidR="00027D86" w:rsidRPr="003530EF" w:rsidRDefault="00027D86" w:rsidP="003530EF">
            <w:pPr>
              <w:spacing w:line="240" w:lineRule="auto"/>
              <w:outlineLvl w:val="9"/>
              <w:rPr>
                <w:rFonts w:ascii="Times New Roman" w:hAnsi="Times New Roman"/>
                <w:lang w:val="de-AT" w:eastAsia="de-AT"/>
              </w:rPr>
            </w:pPr>
          </w:p>
        </w:tc>
        <w:tc>
          <w:tcPr>
            <w:tcW w:w="1411" w:type="dxa"/>
            <w:tcBorders>
              <w:top w:val="nil"/>
              <w:left w:val="nil"/>
              <w:bottom w:val="nil"/>
              <w:right w:val="nil"/>
            </w:tcBorders>
            <w:shd w:val="clear" w:color="auto" w:fill="auto"/>
            <w:noWrap/>
            <w:vAlign w:val="bottom"/>
          </w:tcPr>
          <w:p w14:paraId="2FF5E389" w14:textId="77777777" w:rsidR="00027D86" w:rsidRPr="003530EF" w:rsidRDefault="00027D86" w:rsidP="003530EF">
            <w:pPr>
              <w:spacing w:line="240" w:lineRule="auto"/>
              <w:outlineLvl w:val="9"/>
              <w:rPr>
                <w:rFonts w:ascii="Times New Roman" w:hAnsi="Times New Roman"/>
                <w:lang w:val="de-AT" w:eastAsia="de-AT"/>
              </w:rPr>
            </w:pPr>
          </w:p>
        </w:tc>
      </w:tr>
    </w:tbl>
    <w:p w14:paraId="5EBD58F7" w14:textId="1F7442CD" w:rsidR="00A520AC" w:rsidRDefault="00053A28" w:rsidP="009C4616">
      <w:r>
        <w:fldChar w:fldCharType="end"/>
      </w:r>
      <w:bookmarkEnd w:id="1"/>
      <w:r w:rsidR="003530EF" w:rsidRPr="003530EF">
        <w:rPr>
          <w:noProof/>
        </w:rPr>
        <w:t xml:space="preserve"> </w:t>
      </w:r>
      <w:r w:rsidR="003530EF">
        <w:rPr>
          <w:noProof/>
        </w:rPr>
        <w:drawing>
          <wp:inline distT="0" distB="0" distL="0" distR="0" wp14:anchorId="051B4BD1" wp14:editId="7F26FABE">
            <wp:extent cx="4742597" cy="2797791"/>
            <wp:effectExtent l="0" t="0" r="1270" b="3175"/>
            <wp:docPr id="3" name="Diagramm 3">
              <a:extLst xmlns:a="http://schemas.openxmlformats.org/drawingml/2006/main">
                <a:ext uri="{FF2B5EF4-FFF2-40B4-BE49-F238E27FC236}">
                  <a16:creationId xmlns:a16="http://schemas.microsoft.com/office/drawing/2014/main" id="{F0DADF1D-C7EF-4FB9-9379-92A230B19B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bookmarkEnd w:id="2"/>
    </w:p>
    <w:sectPr w:rsidR="00A520AC">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CB739" w14:textId="77777777" w:rsidR="009C4616" w:rsidRDefault="009C4616" w:rsidP="009C4616">
      <w:pPr>
        <w:spacing w:line="240" w:lineRule="auto"/>
      </w:pPr>
      <w:r>
        <w:separator/>
      </w:r>
    </w:p>
  </w:endnote>
  <w:endnote w:type="continuationSeparator" w:id="0">
    <w:p w14:paraId="0F677EAF" w14:textId="77777777" w:rsidR="009C4616" w:rsidRDefault="009C4616" w:rsidP="009C46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oundryMonoline-Regular">
    <w:altName w:val="Malgun Gothic"/>
    <w:panose1 w:val="02000503000000020004"/>
    <w:charset w:val="00"/>
    <w:family w:val="auto"/>
    <w:pitch w:val="variable"/>
    <w:sig w:usb0="80000027" w:usb1="0000004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EDCF6" w14:textId="77777777" w:rsidR="009C4616" w:rsidRDefault="009C4616" w:rsidP="009C4616">
      <w:pPr>
        <w:spacing w:line="240" w:lineRule="auto"/>
      </w:pPr>
      <w:r>
        <w:separator/>
      </w:r>
    </w:p>
  </w:footnote>
  <w:footnote w:type="continuationSeparator" w:id="0">
    <w:p w14:paraId="2EEC3CD1" w14:textId="77777777" w:rsidR="009C4616" w:rsidRDefault="009C4616" w:rsidP="009C46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25441" w14:textId="09884E5A" w:rsidR="009C4616" w:rsidRDefault="009C4616" w:rsidP="009C4616">
    <w:pPr>
      <w:pStyle w:val="Kopfzeile"/>
      <w:jc w:val="center"/>
    </w:pPr>
    <w:r>
      <w:rPr>
        <w:noProof/>
        <w:lang w:eastAsia="de-AT"/>
      </w:rPr>
      <w:drawing>
        <wp:inline distT="0" distB="0" distL="0" distR="0" wp14:anchorId="4D328A37" wp14:editId="26ED50AD">
          <wp:extent cx="1381125" cy="733425"/>
          <wp:effectExtent l="0" t="0" r="0" b="0"/>
          <wp:docPr id="1" name="Bild 1" descr="SG Logo O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 Logo Okt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7334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616"/>
    <w:rsid w:val="00027D86"/>
    <w:rsid w:val="00053A28"/>
    <w:rsid w:val="00172543"/>
    <w:rsid w:val="00196652"/>
    <w:rsid w:val="001C0FD2"/>
    <w:rsid w:val="00216B97"/>
    <w:rsid w:val="003451E0"/>
    <w:rsid w:val="003530EF"/>
    <w:rsid w:val="00404D86"/>
    <w:rsid w:val="00440305"/>
    <w:rsid w:val="004B1EDA"/>
    <w:rsid w:val="004F6481"/>
    <w:rsid w:val="005366F4"/>
    <w:rsid w:val="00586937"/>
    <w:rsid w:val="006033D4"/>
    <w:rsid w:val="006515D1"/>
    <w:rsid w:val="00685FE4"/>
    <w:rsid w:val="00770BE4"/>
    <w:rsid w:val="009C4616"/>
    <w:rsid w:val="009D67E6"/>
    <w:rsid w:val="00A47D76"/>
    <w:rsid w:val="00A51615"/>
    <w:rsid w:val="00A520AC"/>
    <w:rsid w:val="00A73B8E"/>
    <w:rsid w:val="00A96D46"/>
    <w:rsid w:val="00AF229B"/>
    <w:rsid w:val="00B66323"/>
    <w:rsid w:val="00B926CC"/>
    <w:rsid w:val="00C140CC"/>
    <w:rsid w:val="00CF4CE6"/>
    <w:rsid w:val="00D54D6D"/>
    <w:rsid w:val="00DB09FB"/>
    <w:rsid w:val="00DB411D"/>
    <w:rsid w:val="00DC529A"/>
    <w:rsid w:val="00E610A0"/>
    <w:rsid w:val="00E80C7D"/>
    <w:rsid w:val="00F2676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55735"/>
  <w15:chartTrackingRefBased/>
  <w15:docId w15:val="{CB18A9C5-00C8-4227-8735-E65DF8379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616"/>
    <w:pPr>
      <w:spacing w:after="0" w:line="300" w:lineRule="auto"/>
      <w:outlineLvl w:val="0"/>
    </w:pPr>
    <w:rPr>
      <w:rFonts w:ascii="FoundryMonoline-Regular" w:eastAsia="Times New Roman" w:hAnsi="FoundryMonoline-Regular" w:cs="Times New Roman"/>
      <w:sz w:val="20"/>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4616"/>
    <w:pPr>
      <w:tabs>
        <w:tab w:val="center" w:pos="4536"/>
        <w:tab w:val="right" w:pos="9072"/>
      </w:tabs>
      <w:spacing w:line="240" w:lineRule="auto"/>
      <w:outlineLvl w:val="9"/>
    </w:pPr>
    <w:rPr>
      <w:rFonts w:asciiTheme="minorHAnsi" w:eastAsiaTheme="minorHAnsi" w:hAnsiTheme="minorHAnsi" w:cstheme="minorBidi"/>
      <w:sz w:val="22"/>
      <w:szCs w:val="22"/>
      <w:lang w:val="de-AT" w:eastAsia="en-US"/>
    </w:rPr>
  </w:style>
  <w:style w:type="character" w:customStyle="1" w:styleId="KopfzeileZchn">
    <w:name w:val="Kopfzeile Zchn"/>
    <w:basedOn w:val="Absatz-Standardschriftart"/>
    <w:link w:val="Kopfzeile"/>
    <w:uiPriority w:val="99"/>
    <w:rsid w:val="009C4616"/>
  </w:style>
  <w:style w:type="paragraph" w:styleId="Fuzeile">
    <w:name w:val="footer"/>
    <w:basedOn w:val="Standard"/>
    <w:link w:val="FuzeileZchn"/>
    <w:uiPriority w:val="99"/>
    <w:unhideWhenUsed/>
    <w:rsid w:val="009C4616"/>
    <w:pPr>
      <w:tabs>
        <w:tab w:val="center" w:pos="4536"/>
        <w:tab w:val="right" w:pos="9072"/>
      </w:tabs>
      <w:spacing w:line="240" w:lineRule="auto"/>
      <w:outlineLvl w:val="9"/>
    </w:pPr>
    <w:rPr>
      <w:rFonts w:asciiTheme="minorHAnsi" w:eastAsiaTheme="minorHAnsi" w:hAnsiTheme="minorHAnsi" w:cstheme="minorBidi"/>
      <w:sz w:val="22"/>
      <w:szCs w:val="22"/>
      <w:lang w:val="de-AT" w:eastAsia="en-US"/>
    </w:rPr>
  </w:style>
  <w:style w:type="character" w:customStyle="1" w:styleId="FuzeileZchn">
    <w:name w:val="Fußzeile Zchn"/>
    <w:basedOn w:val="Absatz-Standardschriftart"/>
    <w:link w:val="Fuzeile"/>
    <w:uiPriority w:val="99"/>
    <w:rsid w:val="009C46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400800">
      <w:bodyDiv w:val="1"/>
      <w:marLeft w:val="0"/>
      <w:marRight w:val="0"/>
      <w:marTop w:val="0"/>
      <w:marBottom w:val="0"/>
      <w:divBdr>
        <w:top w:val="none" w:sz="0" w:space="0" w:color="auto"/>
        <w:left w:val="none" w:sz="0" w:space="0" w:color="auto"/>
        <w:bottom w:val="none" w:sz="0" w:space="0" w:color="auto"/>
        <w:right w:val="none" w:sz="0" w:space="0" w:color="auto"/>
      </w:divBdr>
    </w:div>
    <w:div w:id="729378617">
      <w:bodyDiv w:val="1"/>
      <w:marLeft w:val="0"/>
      <w:marRight w:val="0"/>
      <w:marTop w:val="0"/>
      <w:marBottom w:val="0"/>
      <w:divBdr>
        <w:top w:val="none" w:sz="0" w:space="0" w:color="auto"/>
        <w:left w:val="none" w:sz="0" w:space="0" w:color="auto"/>
        <w:bottom w:val="none" w:sz="0" w:space="0" w:color="auto"/>
        <w:right w:val="none" w:sz="0" w:space="0" w:color="auto"/>
      </w:divBdr>
    </w:div>
    <w:div w:id="1100686772">
      <w:bodyDiv w:val="1"/>
      <w:marLeft w:val="0"/>
      <w:marRight w:val="0"/>
      <w:marTop w:val="0"/>
      <w:marBottom w:val="0"/>
      <w:divBdr>
        <w:top w:val="none" w:sz="0" w:space="0" w:color="auto"/>
        <w:left w:val="none" w:sz="0" w:space="0" w:color="auto"/>
        <w:bottom w:val="none" w:sz="0" w:space="0" w:color="auto"/>
        <w:right w:val="none" w:sz="0" w:space="0" w:color="auto"/>
      </w:divBdr>
    </w:div>
    <w:div w:id="1220168188">
      <w:bodyDiv w:val="1"/>
      <w:marLeft w:val="0"/>
      <w:marRight w:val="0"/>
      <w:marTop w:val="0"/>
      <w:marBottom w:val="0"/>
      <w:divBdr>
        <w:top w:val="none" w:sz="0" w:space="0" w:color="auto"/>
        <w:left w:val="none" w:sz="0" w:space="0" w:color="auto"/>
        <w:bottom w:val="none" w:sz="0" w:space="0" w:color="auto"/>
        <w:right w:val="none" w:sz="0" w:space="0" w:color="auto"/>
      </w:divBdr>
    </w:div>
    <w:div w:id="1545674262">
      <w:bodyDiv w:val="1"/>
      <w:marLeft w:val="0"/>
      <w:marRight w:val="0"/>
      <w:marTop w:val="0"/>
      <w:marBottom w:val="0"/>
      <w:divBdr>
        <w:top w:val="none" w:sz="0" w:space="0" w:color="auto"/>
        <w:left w:val="none" w:sz="0" w:space="0" w:color="auto"/>
        <w:bottom w:val="none" w:sz="0" w:space="0" w:color="auto"/>
        <w:right w:val="none" w:sz="0" w:space="0" w:color="auto"/>
      </w:divBdr>
    </w:div>
    <w:div w:id="1762679029">
      <w:bodyDiv w:val="1"/>
      <w:marLeft w:val="0"/>
      <w:marRight w:val="0"/>
      <w:marTop w:val="0"/>
      <w:marBottom w:val="0"/>
      <w:divBdr>
        <w:top w:val="none" w:sz="0" w:space="0" w:color="auto"/>
        <w:left w:val="none" w:sz="0" w:space="0" w:color="auto"/>
        <w:bottom w:val="none" w:sz="0" w:space="0" w:color="auto"/>
        <w:right w:val="none" w:sz="0" w:space="0" w:color="auto"/>
      </w:divBdr>
    </w:div>
    <w:div w:id="1846281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hart" Target="charts/chart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FSERVER\mm\D-Produktion\Weingarten\Wetter\Jhrg%202022%20Wetterdaten%20Nov%2022.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AT" sz="1800" b="1" baseline="0">
                <a:solidFill>
                  <a:schemeClr val="tx1">
                    <a:lumMod val="50000"/>
                    <a:lumOff val="50000"/>
                  </a:schemeClr>
                </a:solidFill>
              </a:rPr>
              <a:t>VINTAGE 2022</a:t>
            </a:r>
            <a:endParaRPr lang="de-AT" sz="1200" b="1" baseline="0">
              <a:solidFill>
                <a:schemeClr val="tx1">
                  <a:lumMod val="50000"/>
                  <a:lumOff val="50000"/>
                </a:schemeClr>
              </a:solidFill>
            </a:endParaRPr>
          </a:p>
        </c:rich>
      </c:tx>
      <c:layout>
        <c:manualLayout>
          <c:xMode val="edge"/>
          <c:yMode val="edge"/>
          <c:x val="5.6729415445585858E-2"/>
          <c:y val="1.761358322975770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4.2836537324726302E-2"/>
          <c:y val="0.14771743326384398"/>
          <c:w val="0.92117377219739416"/>
          <c:h val="0.75546432241773254"/>
        </c:manualLayout>
      </c:layout>
      <c:barChart>
        <c:barDir val="col"/>
        <c:grouping val="clustered"/>
        <c:varyColors val="0"/>
        <c:ser>
          <c:idx val="0"/>
          <c:order val="0"/>
          <c:tx>
            <c:strRef>
              <c:f>'ag-grid'!$B$1</c:f>
              <c:strCache>
                <c:ptCount val="1"/>
                <c:pt idx="0">
                  <c:v>            Precipitation (mm)   </c:v>
                </c:pt>
              </c:strCache>
            </c:strRef>
          </c:tx>
          <c:spPr>
            <a:solidFill>
              <a:schemeClr val="accent1">
                <a:lumMod val="60000"/>
                <a:lumOff val="40000"/>
              </a:schemeClr>
            </a:solidFill>
            <a:ln>
              <a:solidFill>
                <a:schemeClr val="accent1">
                  <a:lumMod val="60000"/>
                  <a:lumOff val="40000"/>
                </a:schemeClr>
              </a:solidFill>
            </a:ln>
            <a:effectLst/>
          </c:spPr>
          <c:invertIfNegative val="0"/>
          <c:cat>
            <c:strRef>
              <c:f>'ag-grid'!$A$2:$A$13</c:f>
              <c:strCache>
                <c:ptCount val="12"/>
                <c:pt idx="0">
                  <c:v>Jän</c:v>
                </c:pt>
                <c:pt idx="1">
                  <c:v>Feb</c:v>
                </c:pt>
                <c:pt idx="2">
                  <c:v>Mär</c:v>
                </c:pt>
                <c:pt idx="3">
                  <c:v>Apr</c:v>
                </c:pt>
                <c:pt idx="4">
                  <c:v>Mai</c:v>
                </c:pt>
                <c:pt idx="5">
                  <c:v>Juni</c:v>
                </c:pt>
                <c:pt idx="6">
                  <c:v>July</c:v>
                </c:pt>
                <c:pt idx="7">
                  <c:v>Aug</c:v>
                </c:pt>
                <c:pt idx="8">
                  <c:v>Sep</c:v>
                </c:pt>
                <c:pt idx="9">
                  <c:v>Okt</c:v>
                </c:pt>
                <c:pt idx="10">
                  <c:v>Nov</c:v>
                </c:pt>
                <c:pt idx="11">
                  <c:v>Dez</c:v>
                </c:pt>
              </c:strCache>
            </c:strRef>
          </c:cat>
          <c:val>
            <c:numRef>
              <c:f>'ag-grid'!$B$2:$B$13</c:f>
              <c:numCache>
                <c:formatCode>General</c:formatCode>
                <c:ptCount val="12"/>
                <c:pt idx="0">
                  <c:v>5.8</c:v>
                </c:pt>
                <c:pt idx="1">
                  <c:v>8.1999999999999993</c:v>
                </c:pt>
                <c:pt idx="2">
                  <c:v>12.6</c:v>
                </c:pt>
                <c:pt idx="3">
                  <c:v>30</c:v>
                </c:pt>
                <c:pt idx="4">
                  <c:v>70</c:v>
                </c:pt>
                <c:pt idx="5">
                  <c:v>95.4</c:v>
                </c:pt>
                <c:pt idx="6">
                  <c:v>133.19999999999999</c:v>
                </c:pt>
                <c:pt idx="7">
                  <c:v>68.599999999999994</c:v>
                </c:pt>
                <c:pt idx="8">
                  <c:v>48</c:v>
                </c:pt>
                <c:pt idx="9">
                  <c:v>22.8</c:v>
                </c:pt>
                <c:pt idx="10">
                  <c:v>38.6</c:v>
                </c:pt>
              </c:numCache>
            </c:numRef>
          </c:val>
          <c:extLst>
            <c:ext xmlns:c16="http://schemas.microsoft.com/office/drawing/2014/chart" uri="{C3380CC4-5D6E-409C-BE32-E72D297353CC}">
              <c16:uniqueId val="{00000000-F6A8-4A06-B28C-9024A235000B}"/>
            </c:ext>
          </c:extLst>
        </c:ser>
        <c:dLbls>
          <c:showLegendKey val="0"/>
          <c:showVal val="0"/>
          <c:showCatName val="0"/>
          <c:showSerName val="0"/>
          <c:showPercent val="0"/>
          <c:showBubbleSize val="0"/>
        </c:dLbls>
        <c:gapWidth val="150"/>
        <c:axId val="647576840"/>
        <c:axId val="647570280"/>
        <c:extLst>
          <c:ext xmlns:c15="http://schemas.microsoft.com/office/drawing/2012/chart" uri="{02D57815-91ED-43cb-92C2-25804820EDAC}">
            <c15:filteredBarSeries>
              <c15:ser>
                <c:idx val="2"/>
                <c:order val="2"/>
                <c:tx>
                  <c:strRef>
                    <c:extLst>
                      <c:ext uri="{02D57815-91ED-43cb-92C2-25804820EDAC}">
                        <c15:formulaRef>
                          <c15:sqref>'ag-grid'!$D$1</c15:sqref>
                        </c15:formulaRef>
                      </c:ext>
                    </c:extLst>
                    <c:strCache>
                      <c:ptCount val="1"/>
                      <c:pt idx="0">
                        <c:v>    Max Temp </c:v>
                      </c:pt>
                    </c:strCache>
                  </c:strRef>
                </c:tx>
                <c:spPr>
                  <a:solidFill>
                    <a:schemeClr val="accent3"/>
                  </a:solidFill>
                  <a:ln>
                    <a:noFill/>
                  </a:ln>
                  <a:effectLst/>
                </c:spPr>
                <c:invertIfNegative val="0"/>
                <c:cat>
                  <c:strRef>
                    <c:extLst>
                      <c:ext uri="{02D57815-91ED-43cb-92C2-25804820EDAC}">
                        <c15:formulaRef>
                          <c15:sqref>'ag-grid'!$A$2:$A$13</c15:sqref>
                        </c15:formulaRef>
                      </c:ext>
                    </c:extLst>
                    <c:strCache>
                      <c:ptCount val="12"/>
                      <c:pt idx="0">
                        <c:v>Jän</c:v>
                      </c:pt>
                      <c:pt idx="1">
                        <c:v>Feb</c:v>
                      </c:pt>
                      <c:pt idx="2">
                        <c:v>Mär</c:v>
                      </c:pt>
                      <c:pt idx="3">
                        <c:v>Apr</c:v>
                      </c:pt>
                      <c:pt idx="4">
                        <c:v>Mai</c:v>
                      </c:pt>
                      <c:pt idx="5">
                        <c:v>Juni</c:v>
                      </c:pt>
                      <c:pt idx="6">
                        <c:v>July</c:v>
                      </c:pt>
                      <c:pt idx="7">
                        <c:v>Aug</c:v>
                      </c:pt>
                      <c:pt idx="8">
                        <c:v>Sep</c:v>
                      </c:pt>
                      <c:pt idx="9">
                        <c:v>Okt</c:v>
                      </c:pt>
                      <c:pt idx="10">
                        <c:v>Nov</c:v>
                      </c:pt>
                      <c:pt idx="11">
                        <c:v>Dez</c:v>
                      </c:pt>
                    </c:strCache>
                  </c:strRef>
                </c:cat>
                <c:val>
                  <c:numRef>
                    <c:extLst>
                      <c:ext uri="{02D57815-91ED-43cb-92C2-25804820EDAC}">
                        <c15:formulaRef>
                          <c15:sqref>'ag-grid'!$D$2:$D$12</c15:sqref>
                        </c15:formulaRef>
                      </c:ext>
                    </c:extLst>
                    <c:numCache>
                      <c:formatCode>General</c:formatCode>
                      <c:ptCount val="11"/>
                      <c:pt idx="0">
                        <c:v>14.75</c:v>
                      </c:pt>
                      <c:pt idx="1">
                        <c:v>15.98</c:v>
                      </c:pt>
                      <c:pt idx="2">
                        <c:v>22.42</c:v>
                      </c:pt>
                      <c:pt idx="3">
                        <c:v>24.35</c:v>
                      </c:pt>
                      <c:pt idx="4">
                        <c:v>31.45</c:v>
                      </c:pt>
                      <c:pt idx="5">
                        <c:v>33.28</c:v>
                      </c:pt>
                      <c:pt idx="6">
                        <c:v>35.54</c:v>
                      </c:pt>
                      <c:pt idx="7">
                        <c:v>35.35</c:v>
                      </c:pt>
                      <c:pt idx="8">
                        <c:v>27.53</c:v>
                      </c:pt>
                      <c:pt idx="9">
                        <c:v>24.35</c:v>
                      </c:pt>
                      <c:pt idx="10">
                        <c:v>18.899999999999999</c:v>
                      </c:pt>
                    </c:numCache>
                  </c:numRef>
                </c:val>
                <c:extLst>
                  <c:ext xmlns:c16="http://schemas.microsoft.com/office/drawing/2014/chart" uri="{C3380CC4-5D6E-409C-BE32-E72D297353CC}">
                    <c16:uniqueId val="{00000002-F6A8-4A06-B28C-9024A235000B}"/>
                  </c:ext>
                </c:extLst>
              </c15:ser>
            </c15:filteredBarSeries>
          </c:ext>
        </c:extLst>
      </c:barChart>
      <c:lineChart>
        <c:grouping val="standard"/>
        <c:varyColors val="0"/>
        <c:dLbls>
          <c:showLegendKey val="0"/>
          <c:showVal val="0"/>
          <c:showCatName val="0"/>
          <c:showSerName val="0"/>
          <c:showPercent val="0"/>
          <c:showBubbleSize val="0"/>
        </c:dLbls>
        <c:marker val="1"/>
        <c:smooth val="0"/>
        <c:axId val="647576840"/>
        <c:axId val="647570280"/>
        <c:extLst>
          <c:ext xmlns:c15="http://schemas.microsoft.com/office/drawing/2012/chart" uri="{02D57815-91ED-43cb-92C2-25804820EDAC}">
            <c15:filteredLineSeries>
              <c15:ser>
                <c:idx val="4"/>
                <c:order val="4"/>
                <c:tx>
                  <c:strRef>
                    <c:extLst>
                      <c:ext uri="{02D57815-91ED-43cb-92C2-25804820EDAC}">
                        <c15:formulaRef>
                          <c15:sqref>'ag-grid'!$F$1</c15:sqref>
                        </c15:formulaRef>
                      </c:ext>
                    </c:extLst>
                    <c:strCache>
                      <c:ptCount val="1"/>
                      <c:pt idx="0">
                        <c:v>Humidity</c:v>
                      </c:pt>
                    </c:strCache>
                  </c:strRef>
                </c:tx>
                <c:spPr>
                  <a:ln w="28575" cap="rnd">
                    <a:solidFill>
                      <a:schemeClr val="accent5"/>
                    </a:solidFill>
                    <a:round/>
                  </a:ln>
                  <a:effectLst/>
                </c:spPr>
                <c:marker>
                  <c:symbol val="none"/>
                </c:marker>
                <c:cat>
                  <c:strRef>
                    <c:extLst>
                      <c:ext uri="{02D57815-91ED-43cb-92C2-25804820EDAC}">
                        <c15:formulaRef>
                          <c15:sqref>'ag-grid'!$A$2:$A$12</c15:sqref>
                        </c15:formulaRef>
                      </c:ext>
                    </c:extLst>
                    <c:strCache>
                      <c:ptCount val="11"/>
                      <c:pt idx="0">
                        <c:v>Jän</c:v>
                      </c:pt>
                      <c:pt idx="1">
                        <c:v>Feb</c:v>
                      </c:pt>
                      <c:pt idx="2">
                        <c:v>Mär</c:v>
                      </c:pt>
                      <c:pt idx="3">
                        <c:v>Apr</c:v>
                      </c:pt>
                      <c:pt idx="4">
                        <c:v>Mai</c:v>
                      </c:pt>
                      <c:pt idx="5">
                        <c:v>Juni</c:v>
                      </c:pt>
                      <c:pt idx="6">
                        <c:v>July</c:v>
                      </c:pt>
                      <c:pt idx="7">
                        <c:v>Aug</c:v>
                      </c:pt>
                      <c:pt idx="8">
                        <c:v>Sep</c:v>
                      </c:pt>
                      <c:pt idx="9">
                        <c:v>Okt</c:v>
                      </c:pt>
                      <c:pt idx="10">
                        <c:v>Nov</c:v>
                      </c:pt>
                    </c:strCache>
                  </c:strRef>
                </c:cat>
                <c:val>
                  <c:numRef>
                    <c:extLst>
                      <c:ext uri="{02D57815-91ED-43cb-92C2-25804820EDAC}">
                        <c15:formulaRef>
                          <c15:sqref>'ag-grid'!$F$2:$F$12</c15:sqref>
                        </c15:formulaRef>
                      </c:ext>
                    </c:extLst>
                    <c:numCache>
                      <c:formatCode>0.00%</c:formatCode>
                      <c:ptCount val="11"/>
                      <c:pt idx="0">
                        <c:v>0.81040000000000001</c:v>
                      </c:pt>
                      <c:pt idx="1">
                        <c:v>0.68049999999999999</c:v>
                      </c:pt>
                      <c:pt idx="2">
                        <c:v>0.53039999999999998</c:v>
                      </c:pt>
                      <c:pt idx="3">
                        <c:v>0.68979999999999997</c:v>
                      </c:pt>
                      <c:pt idx="4">
                        <c:v>0.71189999999999998</c:v>
                      </c:pt>
                      <c:pt idx="5">
                        <c:v>0.74929999999999997</c:v>
                      </c:pt>
                      <c:pt idx="6">
                        <c:v>0.68820000000000003</c:v>
                      </c:pt>
                      <c:pt idx="7">
                        <c:v>0.74570000000000003</c:v>
                      </c:pt>
                      <c:pt idx="8">
                        <c:v>0.84219999999999995</c:v>
                      </c:pt>
                      <c:pt idx="9">
                        <c:v>0.88780000000000003</c:v>
                      </c:pt>
                      <c:pt idx="10">
                        <c:v>0.95020000000000004</c:v>
                      </c:pt>
                    </c:numCache>
                  </c:numRef>
                </c:val>
                <c:smooth val="0"/>
                <c:extLst>
                  <c:ext xmlns:c16="http://schemas.microsoft.com/office/drawing/2014/chart" uri="{C3380CC4-5D6E-409C-BE32-E72D297353CC}">
                    <c16:uniqueId val="{00000004-F6A8-4A06-B28C-9024A235000B}"/>
                  </c:ext>
                </c:extLst>
              </c15:ser>
            </c15:filteredLineSeries>
          </c:ext>
        </c:extLst>
      </c:lineChart>
      <c:lineChart>
        <c:grouping val="standard"/>
        <c:varyColors val="0"/>
        <c:ser>
          <c:idx val="1"/>
          <c:order val="1"/>
          <c:tx>
            <c:strRef>
              <c:f>'ag-grid'!$C$1</c:f>
              <c:strCache>
                <c:ptCount val="1"/>
                <c:pt idx="0">
                  <c:v>  Temp Avg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'ag-grid'!$A$2:$A$12</c:f>
              <c:strCache>
                <c:ptCount val="11"/>
                <c:pt idx="0">
                  <c:v>Jän</c:v>
                </c:pt>
                <c:pt idx="1">
                  <c:v>Feb</c:v>
                </c:pt>
                <c:pt idx="2">
                  <c:v>Mär</c:v>
                </c:pt>
                <c:pt idx="3">
                  <c:v>Apr</c:v>
                </c:pt>
                <c:pt idx="4">
                  <c:v>Mai</c:v>
                </c:pt>
                <c:pt idx="5">
                  <c:v>Juni</c:v>
                </c:pt>
                <c:pt idx="6">
                  <c:v>July</c:v>
                </c:pt>
                <c:pt idx="7">
                  <c:v>Aug</c:v>
                </c:pt>
                <c:pt idx="8">
                  <c:v>Sep</c:v>
                </c:pt>
                <c:pt idx="9">
                  <c:v>Okt</c:v>
                </c:pt>
                <c:pt idx="10">
                  <c:v>Nov</c:v>
                </c:pt>
              </c:strCache>
            </c:strRef>
          </c:cat>
          <c:val>
            <c:numRef>
              <c:f>'ag-grid'!$C$2:$C$13</c:f>
              <c:numCache>
                <c:formatCode>General</c:formatCode>
                <c:ptCount val="12"/>
                <c:pt idx="0">
                  <c:v>2.12</c:v>
                </c:pt>
                <c:pt idx="1">
                  <c:v>4.8499999999999996</c:v>
                </c:pt>
                <c:pt idx="2">
                  <c:v>5.07</c:v>
                </c:pt>
                <c:pt idx="3">
                  <c:v>8.7200000000000006</c:v>
                </c:pt>
                <c:pt idx="4">
                  <c:v>16.47</c:v>
                </c:pt>
                <c:pt idx="5">
                  <c:v>20.38</c:v>
                </c:pt>
                <c:pt idx="6">
                  <c:v>20.75</c:v>
                </c:pt>
                <c:pt idx="7">
                  <c:v>20.86</c:v>
                </c:pt>
                <c:pt idx="8">
                  <c:v>13.78</c:v>
                </c:pt>
                <c:pt idx="9">
                  <c:v>11.49</c:v>
                </c:pt>
                <c:pt idx="10">
                  <c:v>5.6</c:v>
                </c:pt>
              </c:numCache>
            </c:numRef>
          </c:val>
          <c:smooth val="0"/>
          <c:extLst>
            <c:ext xmlns:c16="http://schemas.microsoft.com/office/drawing/2014/chart" uri="{C3380CC4-5D6E-409C-BE32-E72D297353CC}">
              <c16:uniqueId val="{00000001-F6A8-4A06-B28C-9024A235000B}"/>
            </c:ext>
          </c:extLst>
        </c:ser>
        <c:dLbls>
          <c:showLegendKey val="0"/>
          <c:showVal val="0"/>
          <c:showCatName val="0"/>
          <c:showSerName val="0"/>
          <c:showPercent val="0"/>
          <c:showBubbleSize val="0"/>
        </c:dLbls>
        <c:marker val="1"/>
        <c:smooth val="0"/>
        <c:axId val="647574544"/>
        <c:axId val="647571264"/>
        <c:extLst>
          <c:ext xmlns:c15="http://schemas.microsoft.com/office/drawing/2012/chart" uri="{02D57815-91ED-43cb-92C2-25804820EDAC}">
            <c15:filteredLineSeries>
              <c15:ser>
                <c:idx val="3"/>
                <c:order val="3"/>
                <c:tx>
                  <c:strRef>
                    <c:extLst>
                      <c:ext uri="{02D57815-91ED-43cb-92C2-25804820EDAC}">
                        <c15:formulaRef>
                          <c15:sqref>'ag-grid'!$E$1</c15:sqref>
                        </c15:formulaRef>
                      </c:ext>
                    </c:extLst>
                    <c:strCache>
                      <c:ptCount val="1"/>
                      <c:pt idx="0">
                        <c:v>   Min Temp</c:v>
                      </c:pt>
                    </c:strCache>
                  </c:strRef>
                </c:tx>
                <c:spPr>
                  <a:ln w="28575" cap="rnd">
                    <a:solidFill>
                      <a:schemeClr val="accent4"/>
                    </a:solidFill>
                    <a:round/>
                  </a:ln>
                  <a:effectLst/>
                </c:spPr>
                <c:marker>
                  <c:symbol val="none"/>
                </c:marker>
                <c:cat>
                  <c:strRef>
                    <c:extLst>
                      <c:ext uri="{02D57815-91ED-43cb-92C2-25804820EDAC}">
                        <c15:formulaRef>
                          <c15:sqref>'ag-grid'!$A$2:$A$12</c15:sqref>
                        </c15:formulaRef>
                      </c:ext>
                    </c:extLst>
                    <c:strCache>
                      <c:ptCount val="11"/>
                      <c:pt idx="0">
                        <c:v>Jän</c:v>
                      </c:pt>
                      <c:pt idx="1">
                        <c:v>Feb</c:v>
                      </c:pt>
                      <c:pt idx="2">
                        <c:v>Mär</c:v>
                      </c:pt>
                      <c:pt idx="3">
                        <c:v>Apr</c:v>
                      </c:pt>
                      <c:pt idx="4">
                        <c:v>Mai</c:v>
                      </c:pt>
                      <c:pt idx="5">
                        <c:v>Juni</c:v>
                      </c:pt>
                      <c:pt idx="6">
                        <c:v>July</c:v>
                      </c:pt>
                      <c:pt idx="7">
                        <c:v>Aug</c:v>
                      </c:pt>
                      <c:pt idx="8">
                        <c:v>Sep</c:v>
                      </c:pt>
                      <c:pt idx="9">
                        <c:v>Okt</c:v>
                      </c:pt>
                      <c:pt idx="10">
                        <c:v>Nov</c:v>
                      </c:pt>
                    </c:strCache>
                  </c:strRef>
                </c:cat>
                <c:val>
                  <c:numRef>
                    <c:extLst>
                      <c:ext uri="{02D57815-91ED-43cb-92C2-25804820EDAC}">
                        <c15:formulaRef>
                          <c15:sqref>'ag-grid'!$E$2:$E$12</c15:sqref>
                        </c15:formulaRef>
                      </c:ext>
                    </c:extLst>
                    <c:numCache>
                      <c:formatCode>General</c:formatCode>
                      <c:ptCount val="11"/>
                      <c:pt idx="0">
                        <c:v>-8.51</c:v>
                      </c:pt>
                      <c:pt idx="1">
                        <c:v>-6.15</c:v>
                      </c:pt>
                      <c:pt idx="2">
                        <c:v>-7.23</c:v>
                      </c:pt>
                      <c:pt idx="3">
                        <c:v>-4.05</c:v>
                      </c:pt>
                      <c:pt idx="4">
                        <c:v>4.45</c:v>
                      </c:pt>
                      <c:pt idx="5">
                        <c:v>9.06</c:v>
                      </c:pt>
                      <c:pt idx="6">
                        <c:v>8.67</c:v>
                      </c:pt>
                      <c:pt idx="7">
                        <c:v>10.95</c:v>
                      </c:pt>
                      <c:pt idx="8">
                        <c:v>0.16</c:v>
                      </c:pt>
                      <c:pt idx="9">
                        <c:v>-0.56999999999999995</c:v>
                      </c:pt>
                      <c:pt idx="10">
                        <c:v>-3.2</c:v>
                      </c:pt>
                    </c:numCache>
                  </c:numRef>
                </c:val>
                <c:smooth val="0"/>
                <c:extLst>
                  <c:ext xmlns:c16="http://schemas.microsoft.com/office/drawing/2014/chart" uri="{C3380CC4-5D6E-409C-BE32-E72D297353CC}">
                    <c16:uniqueId val="{00000003-F6A8-4A06-B28C-9024A235000B}"/>
                  </c:ext>
                </c:extLst>
              </c15:ser>
            </c15:filteredLineSeries>
          </c:ext>
        </c:extLst>
      </c:lineChart>
      <c:catAx>
        <c:axId val="64757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47570280"/>
        <c:crosses val="autoZero"/>
        <c:auto val="1"/>
        <c:lblAlgn val="ctr"/>
        <c:lblOffset val="100"/>
        <c:noMultiLvlLbl val="0"/>
      </c:catAx>
      <c:valAx>
        <c:axId val="647570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47576840"/>
        <c:crosses val="autoZero"/>
        <c:crossBetween val="between"/>
      </c:valAx>
      <c:valAx>
        <c:axId val="64757126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47574544"/>
        <c:crosses val="max"/>
        <c:crossBetween val="between"/>
      </c:valAx>
      <c:catAx>
        <c:axId val="647574544"/>
        <c:scaling>
          <c:orientation val="minMax"/>
        </c:scaling>
        <c:delete val="1"/>
        <c:axPos val="b"/>
        <c:numFmt formatCode="General" sourceLinked="1"/>
        <c:majorTickMark val="none"/>
        <c:minorTickMark val="none"/>
        <c:tickLblPos val="nextTo"/>
        <c:crossAx val="6475712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jpg"/></Relationships>
</file>

<file path=word/drawings/drawing1.xml><?xml version="1.0" encoding="utf-8"?>
<c:userShapes xmlns:c="http://schemas.openxmlformats.org/drawingml/2006/chart">
  <cdr:relSizeAnchor xmlns:cdr="http://schemas.openxmlformats.org/drawingml/2006/chartDrawing">
    <cdr:from>
      <cdr:x>0.41216</cdr:x>
      <cdr:y>0.00788</cdr:y>
    </cdr:from>
    <cdr:to>
      <cdr:x>0.59234</cdr:x>
      <cdr:y>0.13144</cdr:y>
    </cdr:to>
    <cdr:pic>
      <cdr:nvPicPr>
        <cdr:cNvPr id="3" name="Grafik 2">
          <a:extLst xmlns:a="http://schemas.openxmlformats.org/drawingml/2006/main">
            <a:ext uri="{FF2B5EF4-FFF2-40B4-BE49-F238E27FC236}">
              <a16:creationId xmlns:a16="http://schemas.microsoft.com/office/drawing/2014/main" id="{D76CB856-274D-40DF-B1E1-4E0091E82925}"/>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486150" y="47625"/>
          <a:ext cx="1524000" cy="746760"/>
        </a:xfrm>
        <a:prstGeom xmlns:a="http://schemas.openxmlformats.org/drawingml/2006/main" prst="rect">
          <a:avLst/>
        </a:prstGeom>
      </cdr:spPr>
    </cdr:pic>
  </cdr:relSizeAnchor>
  <cdr:relSizeAnchor xmlns:cdr="http://schemas.openxmlformats.org/drawingml/2006/chartDrawing">
    <cdr:from>
      <cdr:x>0.61013</cdr:x>
      <cdr:y>0</cdr:y>
    </cdr:from>
    <cdr:to>
      <cdr:x>1</cdr:x>
      <cdr:y>0.19029</cdr:y>
    </cdr:to>
    <cdr:sp macro="" textlink="">
      <cdr:nvSpPr>
        <cdr:cNvPr id="4" name="Textfeld 3">
          <a:extLst xmlns:a="http://schemas.openxmlformats.org/drawingml/2006/main">
            <a:ext uri="{FF2B5EF4-FFF2-40B4-BE49-F238E27FC236}">
              <a16:creationId xmlns:a16="http://schemas.microsoft.com/office/drawing/2014/main" id="{060275F9-D587-439B-967F-BA0ABC030E91}"/>
            </a:ext>
          </a:extLst>
        </cdr:cNvPr>
        <cdr:cNvSpPr txBox="1"/>
      </cdr:nvSpPr>
      <cdr:spPr>
        <a:xfrm xmlns:a="http://schemas.openxmlformats.org/drawingml/2006/main">
          <a:off x="2893326" y="0"/>
          <a:ext cx="1848854" cy="5322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de-AT" sz="1400">
              <a:solidFill>
                <a:schemeClr val="tx1">
                  <a:lumMod val="50000"/>
                  <a:lumOff val="50000"/>
                </a:schemeClr>
              </a:solidFill>
            </a:rPr>
            <a:t>60 hl/ha</a:t>
          </a:r>
        </a:p>
        <a:p xmlns:a="http://schemas.openxmlformats.org/drawingml/2006/main">
          <a:pPr algn="r"/>
          <a:r>
            <a:rPr lang="de-AT" sz="1100">
              <a:solidFill>
                <a:schemeClr val="tx1">
                  <a:lumMod val="50000"/>
                  <a:lumOff val="50000"/>
                </a:schemeClr>
              </a:solidFill>
            </a:rPr>
            <a:t>Total Precipitation: 533</a:t>
          </a:r>
          <a:r>
            <a:rPr lang="de-AT" sz="1100" baseline="0">
              <a:solidFill>
                <a:schemeClr val="tx1">
                  <a:lumMod val="50000"/>
                  <a:lumOff val="50000"/>
                </a:schemeClr>
              </a:solidFill>
            </a:rPr>
            <a:t> lt/m² </a:t>
          </a:r>
          <a:endParaRPr lang="de-AT" sz="1100">
            <a:solidFill>
              <a:schemeClr val="tx1">
                <a:lumMod val="50000"/>
                <a:lumOff val="50000"/>
              </a:schemeClr>
            </a:solidFill>
          </a:endParaRPr>
        </a:p>
      </cdr:txBody>
    </cdr:sp>
  </cdr:relSizeAnchor>
</c:userShape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301</Words>
  <Characters>1898</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Ilkerl Lisa</dc:creator>
  <cp:keywords/>
  <dc:description/>
  <cp:lastModifiedBy>Michael Moosbrugger</cp:lastModifiedBy>
  <cp:revision>4</cp:revision>
  <dcterms:created xsi:type="dcterms:W3CDTF">2022-12-12T17:39:00Z</dcterms:created>
  <dcterms:modified xsi:type="dcterms:W3CDTF">2022-12-12T17:48:00Z</dcterms:modified>
</cp:coreProperties>
</file>