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24B40" w14:textId="77777777" w:rsidR="00126AE3" w:rsidRDefault="00126AE3" w:rsidP="00C740C0">
      <w:pPr>
        <w:jc w:val="center"/>
      </w:pPr>
    </w:p>
    <w:p w14:paraId="59F905D1" w14:textId="1A7C5B2B" w:rsidR="00C740C0" w:rsidRPr="00B615AF" w:rsidRDefault="00ED47FA" w:rsidP="00C740C0">
      <w:pPr>
        <w:jc w:val="center"/>
        <w:rPr>
          <w:rFonts w:asciiTheme="majorHAnsi" w:hAnsiTheme="majorHAnsi" w:cstheme="majorHAnsi"/>
        </w:rPr>
      </w:pPr>
      <w:r w:rsidRPr="00B615AF">
        <w:rPr>
          <w:rFonts w:asciiTheme="majorHAnsi" w:hAnsiTheme="majorHAnsi" w:cstheme="majorHAnsi"/>
          <w:b/>
          <w:bCs/>
        </w:rPr>
        <w:t>JAHRGANG 2021</w:t>
      </w:r>
      <w:r w:rsidRPr="00B615AF">
        <w:rPr>
          <w:rFonts w:asciiTheme="majorHAnsi" w:hAnsiTheme="majorHAnsi" w:cstheme="majorHAnsi"/>
        </w:rPr>
        <w:t xml:space="preserve"> – Jahrgang 851 des klösterlichen Weingutes.</w:t>
      </w:r>
    </w:p>
    <w:p w14:paraId="666C541E" w14:textId="138D3469" w:rsidR="00ED47FA" w:rsidRPr="00B615AF" w:rsidRDefault="00ED47FA" w:rsidP="00ED47FA">
      <w:pPr>
        <w:rPr>
          <w:rFonts w:asciiTheme="majorHAnsi" w:hAnsiTheme="majorHAnsi" w:cstheme="majorHAnsi"/>
        </w:rPr>
      </w:pPr>
      <w:r w:rsidRPr="00B615AF">
        <w:rPr>
          <w:rFonts w:asciiTheme="majorHAnsi" w:hAnsiTheme="majorHAnsi" w:cstheme="majorHAnsi"/>
        </w:rPr>
        <w:t>Ein weiteres Corona Jahr neigt sich dem Ende zu. Unser Weinjahr verlief ganz konträr zu vielen anderen Weinbaugebieten Europas. Der Winter und der Frühling waren geprägt von Trockenheit. Dadurch trieben die Weingärten auch sehr spät aus</w:t>
      </w:r>
      <w:r w:rsidR="00126AE3" w:rsidRPr="00B615AF">
        <w:rPr>
          <w:rFonts w:asciiTheme="majorHAnsi" w:hAnsiTheme="majorHAnsi" w:cstheme="majorHAnsi"/>
        </w:rPr>
        <w:t xml:space="preserve">, das </w:t>
      </w:r>
      <w:r w:rsidRPr="00B615AF">
        <w:rPr>
          <w:rFonts w:asciiTheme="majorHAnsi" w:hAnsiTheme="majorHAnsi" w:cstheme="majorHAnsi"/>
        </w:rPr>
        <w:t xml:space="preserve">führte dazu, dass wir von Spätfrost verschont blieben. Ab Mai gab es dann etwas Niederschlag, </w:t>
      </w:r>
      <w:r w:rsidR="00126AE3" w:rsidRPr="00B615AF">
        <w:rPr>
          <w:rFonts w:asciiTheme="majorHAnsi" w:hAnsiTheme="majorHAnsi" w:cstheme="majorHAnsi"/>
        </w:rPr>
        <w:t xml:space="preserve">was </w:t>
      </w:r>
      <w:r w:rsidRPr="00B615AF">
        <w:rPr>
          <w:rFonts w:asciiTheme="majorHAnsi" w:hAnsiTheme="majorHAnsi" w:cstheme="majorHAnsi"/>
        </w:rPr>
        <w:t>aber nicht zu einer fundamentalen Veränderung der späten Entwicklung in den Weingärten</w:t>
      </w:r>
      <w:r w:rsidR="00126AE3" w:rsidRPr="00B615AF">
        <w:rPr>
          <w:rFonts w:asciiTheme="majorHAnsi" w:hAnsiTheme="majorHAnsi" w:cstheme="majorHAnsi"/>
        </w:rPr>
        <w:t xml:space="preserve"> </w:t>
      </w:r>
      <w:r w:rsidR="00126AE3" w:rsidRPr="00B615AF">
        <w:rPr>
          <w:rFonts w:asciiTheme="majorHAnsi" w:hAnsiTheme="majorHAnsi" w:cstheme="majorHAnsi"/>
        </w:rPr>
        <w:t>führte</w:t>
      </w:r>
      <w:r w:rsidRPr="00B615AF">
        <w:rPr>
          <w:rFonts w:asciiTheme="majorHAnsi" w:hAnsiTheme="majorHAnsi" w:cstheme="majorHAnsi"/>
        </w:rPr>
        <w:t>. Erst der verregnete Sommer (Jul</w:t>
      </w:r>
      <w:r w:rsidR="00126AE3" w:rsidRPr="00B615AF">
        <w:rPr>
          <w:rFonts w:asciiTheme="majorHAnsi" w:hAnsiTheme="majorHAnsi" w:cstheme="majorHAnsi"/>
        </w:rPr>
        <w:t>i</w:t>
      </w:r>
      <w:r w:rsidRPr="00B615AF">
        <w:rPr>
          <w:rFonts w:asciiTheme="majorHAnsi" w:hAnsiTheme="majorHAnsi" w:cstheme="majorHAnsi"/>
        </w:rPr>
        <w:t xml:space="preserve"> &amp; August) brachte die </w:t>
      </w:r>
      <w:r w:rsidR="00126AE3" w:rsidRPr="00B615AF">
        <w:rPr>
          <w:rFonts w:asciiTheme="majorHAnsi" w:hAnsiTheme="majorHAnsi" w:cstheme="majorHAnsi"/>
        </w:rPr>
        <w:t>n</w:t>
      </w:r>
      <w:r w:rsidRPr="00B615AF">
        <w:rPr>
          <w:rFonts w:asciiTheme="majorHAnsi" w:hAnsiTheme="majorHAnsi" w:cstheme="majorHAnsi"/>
        </w:rPr>
        <w:t xml:space="preserve">otwendige Wasserversorgung der Reben. Ein </w:t>
      </w:r>
      <w:proofErr w:type="spellStart"/>
      <w:proofErr w:type="gramStart"/>
      <w:r w:rsidRPr="00B615AF">
        <w:rPr>
          <w:rFonts w:asciiTheme="majorHAnsi" w:hAnsiTheme="majorHAnsi" w:cstheme="majorHAnsi"/>
        </w:rPr>
        <w:t>perfekter,</w:t>
      </w:r>
      <w:r w:rsidR="009C7657" w:rsidRPr="00B615AF">
        <w:rPr>
          <w:rFonts w:asciiTheme="majorHAnsi" w:hAnsiTheme="majorHAnsi" w:cstheme="majorHAnsi"/>
        </w:rPr>
        <w:t>so</w:t>
      </w:r>
      <w:proofErr w:type="spellEnd"/>
      <w:proofErr w:type="gramEnd"/>
      <w:r w:rsidRPr="00B615AF">
        <w:rPr>
          <w:rFonts w:asciiTheme="majorHAnsi" w:hAnsiTheme="majorHAnsi" w:cstheme="majorHAnsi"/>
        </w:rPr>
        <w:t xml:space="preserve"> noch nie dagewesener Altweibersommer führte dazu, dass wir uns für die Ernte der Trauben, die bei uns noch ausschließlich per Hand vollzogen wird, Zeit nehmen konnten</w:t>
      </w:r>
      <w:r w:rsidR="009C7657" w:rsidRPr="00B615AF">
        <w:rPr>
          <w:rFonts w:asciiTheme="majorHAnsi" w:hAnsiTheme="majorHAnsi" w:cstheme="majorHAnsi"/>
        </w:rPr>
        <w:t>.</w:t>
      </w:r>
    </w:p>
    <w:p w14:paraId="64E3FBC1" w14:textId="0E176EEC" w:rsidR="00ED47FA" w:rsidRPr="00B615AF" w:rsidRDefault="00ED47FA" w:rsidP="00ED47FA">
      <w:pPr>
        <w:rPr>
          <w:rFonts w:asciiTheme="majorHAnsi" w:hAnsiTheme="majorHAnsi" w:cstheme="majorHAnsi"/>
        </w:rPr>
      </w:pPr>
      <w:r w:rsidRPr="00B615AF">
        <w:rPr>
          <w:rFonts w:asciiTheme="majorHAnsi" w:hAnsiTheme="majorHAnsi" w:cstheme="majorHAnsi"/>
        </w:rPr>
        <w:t xml:space="preserve">Die Lese begann am 13. Sep mit der Lese </w:t>
      </w:r>
      <w:r w:rsidR="009C7657" w:rsidRPr="00B615AF">
        <w:rPr>
          <w:rFonts w:asciiTheme="majorHAnsi" w:hAnsiTheme="majorHAnsi" w:cstheme="majorHAnsi"/>
        </w:rPr>
        <w:t xml:space="preserve">der Trauben für den Sektgrundwein, </w:t>
      </w:r>
      <w:r w:rsidRPr="00B615AF">
        <w:rPr>
          <w:rFonts w:asciiTheme="majorHAnsi" w:hAnsiTheme="majorHAnsi" w:cstheme="majorHAnsi"/>
        </w:rPr>
        <w:t xml:space="preserve">für </w:t>
      </w:r>
      <w:r w:rsidRPr="00B615AF">
        <w:rPr>
          <w:rFonts w:asciiTheme="majorHAnsi" w:hAnsiTheme="majorHAnsi" w:cstheme="majorHAnsi"/>
          <w:i/>
          <w:iCs/>
        </w:rPr>
        <w:t>Brut Rosé</w:t>
      </w:r>
      <w:r w:rsidRPr="00B615AF">
        <w:rPr>
          <w:rFonts w:asciiTheme="majorHAnsi" w:hAnsiTheme="majorHAnsi" w:cstheme="majorHAnsi"/>
        </w:rPr>
        <w:t xml:space="preserve">, </w:t>
      </w:r>
      <w:r w:rsidRPr="00B615AF">
        <w:rPr>
          <w:rFonts w:asciiTheme="majorHAnsi" w:hAnsiTheme="majorHAnsi" w:cstheme="majorHAnsi"/>
          <w:i/>
          <w:iCs/>
        </w:rPr>
        <w:t>Blanc de Blancs</w:t>
      </w:r>
      <w:r w:rsidRPr="00B615AF">
        <w:rPr>
          <w:rFonts w:asciiTheme="majorHAnsi" w:hAnsiTheme="majorHAnsi" w:cstheme="majorHAnsi"/>
        </w:rPr>
        <w:t xml:space="preserve"> und </w:t>
      </w:r>
      <w:r w:rsidR="009C7657" w:rsidRPr="00B615AF">
        <w:rPr>
          <w:rFonts w:asciiTheme="majorHAnsi" w:hAnsiTheme="majorHAnsi" w:cstheme="majorHAnsi"/>
        </w:rPr>
        <w:t xml:space="preserve">den </w:t>
      </w:r>
      <w:r w:rsidRPr="00B615AF">
        <w:rPr>
          <w:rFonts w:asciiTheme="majorHAnsi" w:hAnsiTheme="majorHAnsi" w:cstheme="majorHAnsi"/>
          <w:i/>
          <w:iCs/>
        </w:rPr>
        <w:t>Brut Reserve</w:t>
      </w:r>
      <w:r w:rsidRPr="00B615AF">
        <w:rPr>
          <w:rFonts w:asciiTheme="majorHAnsi" w:hAnsiTheme="majorHAnsi" w:cstheme="majorHAnsi"/>
        </w:rPr>
        <w:t xml:space="preserve">. Ende September fingen wir mit den Gebietsweinen, </w:t>
      </w:r>
      <w:r w:rsidR="009C7657" w:rsidRPr="00B615AF">
        <w:rPr>
          <w:rFonts w:asciiTheme="majorHAnsi" w:hAnsiTheme="majorHAnsi" w:cstheme="majorHAnsi"/>
        </w:rPr>
        <w:t xml:space="preserve">dann </w:t>
      </w:r>
      <w:r w:rsidRPr="00B615AF">
        <w:rPr>
          <w:rFonts w:asciiTheme="majorHAnsi" w:hAnsiTheme="majorHAnsi" w:cstheme="majorHAnsi"/>
        </w:rPr>
        <w:t xml:space="preserve">den Ortsweinen und erst Ende Oktober mit den </w:t>
      </w:r>
      <w:proofErr w:type="spellStart"/>
      <w:r w:rsidRPr="00B615AF">
        <w:rPr>
          <w:rFonts w:asciiTheme="majorHAnsi" w:hAnsiTheme="majorHAnsi" w:cstheme="majorHAnsi"/>
        </w:rPr>
        <w:t>Riedenweinen</w:t>
      </w:r>
      <w:proofErr w:type="spellEnd"/>
      <w:r w:rsidRPr="00B615AF">
        <w:rPr>
          <w:rFonts w:asciiTheme="majorHAnsi" w:hAnsiTheme="majorHAnsi" w:cstheme="majorHAnsi"/>
        </w:rPr>
        <w:t xml:space="preserve"> an. Die Zuckerkonzentration in den Trauben war selbst in kühlen Lagen ungewöhnlich hoch.  Hohe physiologische Reife gepaart mit feiner Struktur lässt ausgewogene und klare Weine erwarten. Abschließen konnten wir die Traubenernte am 12. November. Ein Eiswein konnte am 2. März 2022 gelesen werden. Die Erntemengen sind mittel (53 hl/ha).</w:t>
      </w:r>
    </w:p>
    <w:p w14:paraId="193E1ACB" w14:textId="77777777" w:rsidR="00ED47FA" w:rsidRPr="00B615AF" w:rsidRDefault="00ED47FA" w:rsidP="00ED47FA">
      <w:pPr>
        <w:rPr>
          <w:rFonts w:asciiTheme="majorHAnsi" w:hAnsiTheme="majorHAnsi" w:cstheme="majorHAnsi"/>
        </w:rPr>
      </w:pPr>
    </w:p>
    <w:p w14:paraId="7E96A500" w14:textId="58D094EF" w:rsidR="00ED47FA" w:rsidRPr="00B615AF" w:rsidRDefault="00ED47FA" w:rsidP="00ED47FA">
      <w:pPr>
        <w:rPr>
          <w:rFonts w:asciiTheme="majorHAnsi" w:hAnsiTheme="majorHAnsi" w:cstheme="majorHAnsi"/>
        </w:rPr>
      </w:pPr>
      <w:r w:rsidRPr="00B615AF">
        <w:rPr>
          <w:rFonts w:asciiTheme="majorHAnsi" w:hAnsiTheme="majorHAnsi" w:cstheme="majorHAnsi"/>
        </w:rPr>
        <w:tab/>
        <w:t xml:space="preserve">Niederschlag (mm)   </w:t>
      </w:r>
      <w:r w:rsidRPr="00B615AF">
        <w:rPr>
          <w:rFonts w:asciiTheme="majorHAnsi" w:hAnsiTheme="majorHAnsi" w:cstheme="majorHAnsi"/>
        </w:rPr>
        <w:tab/>
      </w:r>
      <w:proofErr w:type="spellStart"/>
      <w:r w:rsidRPr="00B615AF">
        <w:rPr>
          <w:rFonts w:asciiTheme="majorHAnsi" w:hAnsiTheme="majorHAnsi" w:cstheme="majorHAnsi"/>
        </w:rPr>
        <w:t>Temp</w:t>
      </w:r>
      <w:proofErr w:type="spellEnd"/>
      <w:r w:rsidRPr="00B615AF">
        <w:rPr>
          <w:rFonts w:asciiTheme="majorHAnsi" w:hAnsiTheme="majorHAnsi" w:cstheme="majorHAnsi"/>
        </w:rPr>
        <w:t xml:space="preserve"> </w:t>
      </w:r>
      <w:proofErr w:type="spellStart"/>
      <w:proofErr w:type="gramStart"/>
      <w:r w:rsidRPr="00B615AF">
        <w:rPr>
          <w:rFonts w:asciiTheme="majorHAnsi" w:hAnsiTheme="majorHAnsi" w:cstheme="majorHAnsi"/>
        </w:rPr>
        <w:t>Avg</w:t>
      </w:r>
      <w:proofErr w:type="spellEnd"/>
      <w:r w:rsidRPr="00B615AF">
        <w:rPr>
          <w:rFonts w:asciiTheme="majorHAnsi" w:hAnsiTheme="majorHAnsi" w:cstheme="majorHAnsi"/>
        </w:rPr>
        <w:t xml:space="preserve">  </w:t>
      </w:r>
      <w:r w:rsidRPr="00B615AF">
        <w:rPr>
          <w:rFonts w:asciiTheme="majorHAnsi" w:hAnsiTheme="majorHAnsi" w:cstheme="majorHAnsi"/>
        </w:rPr>
        <w:tab/>
      </w:r>
      <w:proofErr w:type="gramEnd"/>
      <w:r w:rsidRPr="00B615AF">
        <w:rPr>
          <w:rFonts w:asciiTheme="majorHAnsi" w:hAnsiTheme="majorHAnsi" w:cstheme="majorHAnsi"/>
        </w:rPr>
        <w:t xml:space="preserve">Max </w:t>
      </w:r>
      <w:proofErr w:type="spellStart"/>
      <w:r w:rsidRPr="00B615AF">
        <w:rPr>
          <w:rFonts w:asciiTheme="majorHAnsi" w:hAnsiTheme="majorHAnsi" w:cstheme="majorHAnsi"/>
        </w:rPr>
        <w:t>Temp</w:t>
      </w:r>
      <w:proofErr w:type="spellEnd"/>
      <w:r w:rsidRPr="00B615AF">
        <w:rPr>
          <w:rFonts w:asciiTheme="majorHAnsi" w:hAnsiTheme="majorHAnsi" w:cstheme="majorHAnsi"/>
        </w:rPr>
        <w:tab/>
        <w:t xml:space="preserve">Min </w:t>
      </w:r>
      <w:proofErr w:type="spellStart"/>
      <w:r w:rsidRPr="00B615AF">
        <w:rPr>
          <w:rFonts w:asciiTheme="majorHAnsi" w:hAnsiTheme="majorHAnsi" w:cstheme="majorHAnsi"/>
        </w:rPr>
        <w:t>Temp</w:t>
      </w:r>
      <w:proofErr w:type="spellEnd"/>
      <w:r w:rsidRPr="00B615AF">
        <w:rPr>
          <w:rFonts w:asciiTheme="majorHAnsi" w:hAnsiTheme="majorHAnsi" w:cstheme="majorHAnsi"/>
        </w:rPr>
        <w:tab/>
        <w:t>Luftfeuchtigkeit</w:t>
      </w:r>
    </w:p>
    <w:p w14:paraId="7444E73C" w14:textId="74864108" w:rsidR="00ED47FA" w:rsidRPr="00B615AF" w:rsidRDefault="00ED47FA" w:rsidP="00ED47FA">
      <w:pPr>
        <w:rPr>
          <w:rFonts w:asciiTheme="majorHAnsi" w:hAnsiTheme="majorHAnsi" w:cstheme="majorHAnsi"/>
        </w:rPr>
      </w:pPr>
      <w:proofErr w:type="spellStart"/>
      <w:r w:rsidRPr="00B615AF">
        <w:rPr>
          <w:rFonts w:asciiTheme="majorHAnsi" w:hAnsiTheme="majorHAnsi" w:cstheme="majorHAnsi"/>
        </w:rPr>
        <w:t>Jän</w:t>
      </w:r>
      <w:proofErr w:type="spellEnd"/>
      <w:r w:rsidRPr="00B615AF">
        <w:rPr>
          <w:rFonts w:asciiTheme="majorHAnsi" w:hAnsiTheme="majorHAnsi" w:cstheme="majorHAnsi"/>
        </w:rPr>
        <w:tab/>
      </w:r>
      <w:r w:rsidR="009C7657" w:rsidRPr="00B615AF">
        <w:rPr>
          <w:rFonts w:asciiTheme="majorHAnsi" w:hAnsiTheme="majorHAnsi" w:cstheme="majorHAnsi"/>
        </w:rPr>
        <w:tab/>
      </w:r>
      <w:r w:rsidRPr="00B615AF">
        <w:rPr>
          <w:rFonts w:asciiTheme="majorHAnsi" w:hAnsiTheme="majorHAnsi" w:cstheme="majorHAnsi"/>
        </w:rPr>
        <w:t>34</w:t>
      </w:r>
      <w:r w:rsidRPr="00B615AF">
        <w:rPr>
          <w:rFonts w:asciiTheme="majorHAnsi" w:hAnsiTheme="majorHAnsi" w:cstheme="majorHAnsi"/>
        </w:rPr>
        <w:tab/>
      </w:r>
      <w:r w:rsidR="009C7657" w:rsidRPr="00B615AF">
        <w:rPr>
          <w:rFonts w:asciiTheme="majorHAnsi" w:hAnsiTheme="majorHAnsi" w:cstheme="majorHAnsi"/>
        </w:rPr>
        <w:tab/>
      </w:r>
      <w:r w:rsidRPr="00B615AF">
        <w:rPr>
          <w:rFonts w:asciiTheme="majorHAnsi" w:hAnsiTheme="majorHAnsi" w:cstheme="majorHAnsi"/>
        </w:rPr>
        <w:t>0,34</w:t>
      </w:r>
      <w:r w:rsidRPr="00B615AF">
        <w:rPr>
          <w:rFonts w:asciiTheme="majorHAnsi" w:hAnsiTheme="majorHAnsi" w:cstheme="majorHAnsi"/>
        </w:rPr>
        <w:tab/>
      </w:r>
      <w:r w:rsidR="009C7657" w:rsidRPr="00B615AF">
        <w:rPr>
          <w:rFonts w:asciiTheme="majorHAnsi" w:hAnsiTheme="majorHAnsi" w:cstheme="majorHAnsi"/>
        </w:rPr>
        <w:tab/>
      </w:r>
      <w:r w:rsidRPr="00B615AF">
        <w:rPr>
          <w:rFonts w:asciiTheme="majorHAnsi" w:hAnsiTheme="majorHAnsi" w:cstheme="majorHAnsi"/>
        </w:rPr>
        <w:t>12,52</w:t>
      </w:r>
      <w:r w:rsidRPr="00B615AF">
        <w:rPr>
          <w:rFonts w:asciiTheme="majorHAnsi" w:hAnsiTheme="majorHAnsi" w:cstheme="majorHAnsi"/>
        </w:rPr>
        <w:tab/>
      </w:r>
      <w:r w:rsidR="009C7657" w:rsidRPr="00B615AF">
        <w:rPr>
          <w:rFonts w:asciiTheme="majorHAnsi" w:hAnsiTheme="majorHAnsi" w:cstheme="majorHAnsi"/>
        </w:rPr>
        <w:tab/>
      </w:r>
      <w:r w:rsidRPr="00B615AF">
        <w:rPr>
          <w:rFonts w:asciiTheme="majorHAnsi" w:hAnsiTheme="majorHAnsi" w:cstheme="majorHAnsi"/>
        </w:rPr>
        <w:t>-12,17</w:t>
      </w:r>
      <w:r w:rsidRPr="00B615AF">
        <w:rPr>
          <w:rFonts w:asciiTheme="majorHAnsi" w:hAnsiTheme="majorHAnsi" w:cstheme="majorHAnsi"/>
        </w:rPr>
        <w:tab/>
      </w:r>
      <w:r w:rsidR="009C7657" w:rsidRPr="00B615AF">
        <w:rPr>
          <w:rFonts w:asciiTheme="majorHAnsi" w:hAnsiTheme="majorHAnsi" w:cstheme="majorHAnsi"/>
        </w:rPr>
        <w:tab/>
      </w:r>
      <w:r w:rsidRPr="00B615AF">
        <w:rPr>
          <w:rFonts w:asciiTheme="majorHAnsi" w:hAnsiTheme="majorHAnsi" w:cstheme="majorHAnsi"/>
        </w:rPr>
        <w:t>91,15%</w:t>
      </w:r>
    </w:p>
    <w:p w14:paraId="1267DAEA" w14:textId="11EB7444" w:rsidR="00ED47FA" w:rsidRPr="00B615AF" w:rsidRDefault="00ED47FA" w:rsidP="00ED47FA">
      <w:pPr>
        <w:rPr>
          <w:rFonts w:asciiTheme="majorHAnsi" w:hAnsiTheme="majorHAnsi" w:cstheme="majorHAnsi"/>
        </w:rPr>
      </w:pPr>
      <w:r w:rsidRPr="00B615AF">
        <w:rPr>
          <w:rFonts w:asciiTheme="majorHAnsi" w:hAnsiTheme="majorHAnsi" w:cstheme="majorHAnsi"/>
        </w:rPr>
        <w:t>Feb</w:t>
      </w:r>
      <w:r w:rsidRPr="00B615AF">
        <w:rPr>
          <w:rFonts w:asciiTheme="majorHAnsi" w:hAnsiTheme="majorHAnsi" w:cstheme="majorHAnsi"/>
        </w:rPr>
        <w:tab/>
      </w:r>
      <w:r w:rsidR="009C7657" w:rsidRPr="00B615AF">
        <w:rPr>
          <w:rFonts w:asciiTheme="majorHAnsi" w:hAnsiTheme="majorHAnsi" w:cstheme="majorHAnsi"/>
        </w:rPr>
        <w:tab/>
      </w:r>
      <w:r w:rsidRPr="00B615AF">
        <w:rPr>
          <w:rFonts w:asciiTheme="majorHAnsi" w:hAnsiTheme="majorHAnsi" w:cstheme="majorHAnsi"/>
        </w:rPr>
        <w:t>10</w:t>
      </w:r>
      <w:r w:rsidRPr="00B615AF">
        <w:rPr>
          <w:rFonts w:asciiTheme="majorHAnsi" w:hAnsiTheme="majorHAnsi" w:cstheme="majorHAnsi"/>
        </w:rPr>
        <w:tab/>
      </w:r>
      <w:r w:rsidR="009C7657" w:rsidRPr="00B615AF">
        <w:rPr>
          <w:rFonts w:asciiTheme="majorHAnsi" w:hAnsiTheme="majorHAnsi" w:cstheme="majorHAnsi"/>
        </w:rPr>
        <w:tab/>
      </w:r>
      <w:r w:rsidRPr="00B615AF">
        <w:rPr>
          <w:rFonts w:asciiTheme="majorHAnsi" w:hAnsiTheme="majorHAnsi" w:cstheme="majorHAnsi"/>
        </w:rPr>
        <w:t>1,51</w:t>
      </w:r>
      <w:r w:rsidRPr="00B615AF">
        <w:rPr>
          <w:rFonts w:asciiTheme="majorHAnsi" w:hAnsiTheme="majorHAnsi" w:cstheme="majorHAnsi"/>
        </w:rPr>
        <w:tab/>
      </w:r>
      <w:r w:rsidR="009C7657" w:rsidRPr="00B615AF">
        <w:rPr>
          <w:rFonts w:asciiTheme="majorHAnsi" w:hAnsiTheme="majorHAnsi" w:cstheme="majorHAnsi"/>
        </w:rPr>
        <w:tab/>
      </w:r>
      <w:r w:rsidRPr="00B615AF">
        <w:rPr>
          <w:rFonts w:asciiTheme="majorHAnsi" w:hAnsiTheme="majorHAnsi" w:cstheme="majorHAnsi"/>
        </w:rPr>
        <w:t>20,79</w:t>
      </w:r>
      <w:r w:rsidRPr="00B615AF">
        <w:rPr>
          <w:rFonts w:asciiTheme="majorHAnsi" w:hAnsiTheme="majorHAnsi" w:cstheme="majorHAnsi"/>
        </w:rPr>
        <w:tab/>
      </w:r>
      <w:r w:rsidR="009C7657" w:rsidRPr="00B615AF">
        <w:rPr>
          <w:rFonts w:asciiTheme="majorHAnsi" w:hAnsiTheme="majorHAnsi" w:cstheme="majorHAnsi"/>
        </w:rPr>
        <w:tab/>
      </w:r>
      <w:r w:rsidRPr="00B615AF">
        <w:rPr>
          <w:rFonts w:asciiTheme="majorHAnsi" w:hAnsiTheme="majorHAnsi" w:cstheme="majorHAnsi"/>
        </w:rPr>
        <w:t>-11,84</w:t>
      </w:r>
      <w:r w:rsidRPr="00B615AF">
        <w:rPr>
          <w:rFonts w:asciiTheme="majorHAnsi" w:hAnsiTheme="majorHAnsi" w:cstheme="majorHAnsi"/>
        </w:rPr>
        <w:tab/>
      </w:r>
      <w:r w:rsidR="009C7657" w:rsidRPr="00B615AF">
        <w:rPr>
          <w:rFonts w:asciiTheme="majorHAnsi" w:hAnsiTheme="majorHAnsi" w:cstheme="majorHAnsi"/>
        </w:rPr>
        <w:tab/>
      </w:r>
      <w:r w:rsidRPr="00B615AF">
        <w:rPr>
          <w:rFonts w:asciiTheme="majorHAnsi" w:hAnsiTheme="majorHAnsi" w:cstheme="majorHAnsi"/>
        </w:rPr>
        <w:t>91,05%</w:t>
      </w:r>
    </w:p>
    <w:p w14:paraId="35460F10" w14:textId="4F004F88" w:rsidR="00ED47FA" w:rsidRPr="00B615AF" w:rsidRDefault="00ED47FA" w:rsidP="00ED47FA">
      <w:pPr>
        <w:rPr>
          <w:rFonts w:asciiTheme="majorHAnsi" w:hAnsiTheme="majorHAnsi" w:cstheme="majorHAnsi"/>
        </w:rPr>
      </w:pPr>
      <w:r w:rsidRPr="00B615AF">
        <w:rPr>
          <w:rFonts w:asciiTheme="majorHAnsi" w:hAnsiTheme="majorHAnsi" w:cstheme="majorHAnsi"/>
        </w:rPr>
        <w:t>Mär</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21,6</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4,64</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24,01</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-6,82</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76,40%</w:t>
      </w:r>
    </w:p>
    <w:p w14:paraId="5BBC9A4C" w14:textId="29DC5EB8" w:rsidR="00ED47FA" w:rsidRPr="00B615AF" w:rsidRDefault="00ED47FA" w:rsidP="00ED47FA">
      <w:pPr>
        <w:rPr>
          <w:rFonts w:asciiTheme="majorHAnsi" w:hAnsiTheme="majorHAnsi" w:cstheme="majorHAnsi"/>
        </w:rPr>
      </w:pPr>
      <w:r w:rsidRPr="00B615AF">
        <w:rPr>
          <w:rFonts w:asciiTheme="majorHAnsi" w:hAnsiTheme="majorHAnsi" w:cstheme="majorHAnsi"/>
        </w:rPr>
        <w:t>Apr</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13,6</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7,75</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25,43</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-6,21</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70,85%</w:t>
      </w:r>
    </w:p>
    <w:p w14:paraId="6D784C5E" w14:textId="712905AA" w:rsidR="00ED47FA" w:rsidRPr="00B615AF" w:rsidRDefault="00ED47FA" w:rsidP="00ED47FA">
      <w:pPr>
        <w:rPr>
          <w:rFonts w:asciiTheme="majorHAnsi" w:hAnsiTheme="majorHAnsi" w:cstheme="majorHAnsi"/>
        </w:rPr>
      </w:pPr>
      <w:r w:rsidRPr="00B615AF">
        <w:rPr>
          <w:rFonts w:asciiTheme="majorHAnsi" w:hAnsiTheme="majorHAnsi" w:cstheme="majorHAnsi"/>
        </w:rPr>
        <w:t>Mai</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51,4</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12,61</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29,9</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-0,48</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75,59%</w:t>
      </w:r>
    </w:p>
    <w:p w14:paraId="3B16AE88" w14:textId="0FA6EFE3" w:rsidR="00ED47FA" w:rsidRPr="00B615AF" w:rsidRDefault="00ED47FA" w:rsidP="00ED47FA">
      <w:pPr>
        <w:rPr>
          <w:rFonts w:asciiTheme="majorHAnsi" w:hAnsiTheme="majorHAnsi" w:cstheme="majorHAnsi"/>
        </w:rPr>
      </w:pPr>
      <w:r w:rsidRPr="00B615AF">
        <w:rPr>
          <w:rFonts w:asciiTheme="majorHAnsi" w:hAnsiTheme="majorHAnsi" w:cstheme="majorHAnsi"/>
        </w:rPr>
        <w:t>Juni</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23,2</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21,06</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34,53</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5,79</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70,67%</w:t>
      </w:r>
    </w:p>
    <w:p w14:paraId="70325EF6" w14:textId="0D98A140" w:rsidR="00ED47FA" w:rsidRPr="00B615AF" w:rsidRDefault="00ED47FA" w:rsidP="00ED47FA">
      <w:pPr>
        <w:rPr>
          <w:rFonts w:asciiTheme="majorHAnsi" w:hAnsiTheme="majorHAnsi" w:cstheme="majorHAnsi"/>
        </w:rPr>
      </w:pPr>
      <w:proofErr w:type="spellStart"/>
      <w:r w:rsidRPr="00B615AF">
        <w:rPr>
          <w:rFonts w:asciiTheme="majorHAnsi" w:hAnsiTheme="majorHAnsi" w:cstheme="majorHAnsi"/>
        </w:rPr>
        <w:t>July</w:t>
      </w:r>
      <w:proofErr w:type="spellEnd"/>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102,2</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21,42</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35,65</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10,44</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75,86%</w:t>
      </w:r>
    </w:p>
    <w:p w14:paraId="5771EF1D" w14:textId="466C1B5E" w:rsidR="00ED47FA" w:rsidRPr="00B615AF" w:rsidRDefault="00ED47FA" w:rsidP="00ED47FA">
      <w:pPr>
        <w:rPr>
          <w:rFonts w:asciiTheme="majorHAnsi" w:hAnsiTheme="majorHAnsi" w:cstheme="majorHAnsi"/>
        </w:rPr>
      </w:pPr>
      <w:r w:rsidRPr="00B615AF">
        <w:rPr>
          <w:rFonts w:asciiTheme="majorHAnsi" w:hAnsiTheme="majorHAnsi" w:cstheme="majorHAnsi"/>
        </w:rPr>
        <w:t>Aug</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125,2</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18,04</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32,32</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7,35</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86,40%</w:t>
      </w:r>
    </w:p>
    <w:p w14:paraId="48EF0D2B" w14:textId="011406BF" w:rsidR="00ED47FA" w:rsidRPr="00B615AF" w:rsidRDefault="00ED47FA" w:rsidP="00ED47FA">
      <w:pPr>
        <w:rPr>
          <w:rFonts w:asciiTheme="majorHAnsi" w:hAnsiTheme="majorHAnsi" w:cstheme="majorHAnsi"/>
        </w:rPr>
      </w:pPr>
      <w:r w:rsidRPr="00B615AF">
        <w:rPr>
          <w:rFonts w:asciiTheme="majorHAnsi" w:hAnsiTheme="majorHAnsi" w:cstheme="majorHAnsi"/>
        </w:rPr>
        <w:t>Sep</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11</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15,78</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27,88</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5,2</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81,10%</w:t>
      </w:r>
    </w:p>
    <w:p w14:paraId="15D8F81A" w14:textId="7E2B8F29" w:rsidR="00ED47FA" w:rsidRPr="00B615AF" w:rsidRDefault="00ED47FA" w:rsidP="00ED47FA">
      <w:pPr>
        <w:rPr>
          <w:rFonts w:asciiTheme="majorHAnsi" w:hAnsiTheme="majorHAnsi" w:cstheme="majorHAnsi"/>
        </w:rPr>
      </w:pPr>
      <w:r w:rsidRPr="00B615AF">
        <w:rPr>
          <w:rFonts w:asciiTheme="majorHAnsi" w:hAnsiTheme="majorHAnsi" w:cstheme="majorHAnsi"/>
        </w:rPr>
        <w:t>Okt</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14</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8,8</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26,41</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-3,13</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85,28%</w:t>
      </w:r>
    </w:p>
    <w:p w14:paraId="3FB2A9E1" w14:textId="376C9F0A" w:rsidR="00ED47FA" w:rsidRPr="00B615AF" w:rsidRDefault="00ED47FA" w:rsidP="00ED47FA">
      <w:pPr>
        <w:rPr>
          <w:rFonts w:asciiTheme="majorHAnsi" w:hAnsiTheme="majorHAnsi" w:cstheme="majorHAnsi"/>
        </w:rPr>
      </w:pPr>
      <w:r w:rsidRPr="00B615AF">
        <w:rPr>
          <w:rFonts w:asciiTheme="majorHAnsi" w:hAnsiTheme="majorHAnsi" w:cstheme="majorHAnsi"/>
        </w:rPr>
        <w:t>Nov</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18</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4,67</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13,51</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-3,64</w:t>
      </w:r>
      <w:r w:rsidRPr="00B615AF">
        <w:rPr>
          <w:rFonts w:asciiTheme="majorHAnsi" w:hAnsiTheme="majorHAnsi" w:cstheme="majorHAnsi"/>
        </w:rPr>
        <w:tab/>
      </w:r>
      <w:r w:rsidR="00EB4DF1" w:rsidRPr="00B615AF">
        <w:rPr>
          <w:rFonts w:asciiTheme="majorHAnsi" w:hAnsiTheme="majorHAnsi" w:cstheme="majorHAnsi"/>
        </w:rPr>
        <w:tab/>
      </w:r>
      <w:r w:rsidRPr="00B615AF">
        <w:rPr>
          <w:rFonts w:asciiTheme="majorHAnsi" w:hAnsiTheme="majorHAnsi" w:cstheme="majorHAnsi"/>
        </w:rPr>
        <w:t>89,99%</w:t>
      </w:r>
    </w:p>
    <w:p w14:paraId="28A49D50" w14:textId="4FCC2BB1" w:rsidR="00934D25" w:rsidRPr="00B615AF" w:rsidRDefault="00934D25">
      <w:pPr>
        <w:rPr>
          <w:rFonts w:asciiTheme="majorHAnsi" w:hAnsiTheme="majorHAnsi" w:cstheme="majorHAnsi"/>
        </w:rPr>
      </w:pPr>
    </w:p>
    <w:p w14:paraId="66B50821" w14:textId="4A05CA3B" w:rsidR="00EB4DF1" w:rsidRDefault="00EB4DF1">
      <w:r>
        <w:rPr>
          <w:noProof/>
        </w:rPr>
        <w:lastRenderedPageBreak/>
        <w:drawing>
          <wp:anchor distT="0" distB="0" distL="114300" distR="114300" simplePos="0" relativeHeight="251659264" behindDoc="0" locked="0" layoutInCell="1" allowOverlap="1" wp14:anchorId="5B2C1705" wp14:editId="457BEFA3">
            <wp:simplePos x="0" y="0"/>
            <wp:positionH relativeFrom="column">
              <wp:posOffset>0</wp:posOffset>
            </wp:positionH>
            <wp:positionV relativeFrom="paragraph">
              <wp:posOffset>285115</wp:posOffset>
            </wp:positionV>
            <wp:extent cx="5200650" cy="3248025"/>
            <wp:effectExtent l="0" t="0" r="0" b="9525"/>
            <wp:wrapTopAndBottom/>
            <wp:docPr id="5" name="Diagramm 5">
              <a:extLst xmlns:a="http://schemas.openxmlformats.org/drawingml/2006/main">
                <a:ext uri="{FF2B5EF4-FFF2-40B4-BE49-F238E27FC236}">
                  <a16:creationId xmlns:a16="http://schemas.microsoft.com/office/drawing/2014/main" id="{F0DADF1D-C7EF-4FB9-9379-92A230B19B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p>
    <w:sectPr w:rsidR="00EB4DF1">
      <w:head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6C718" w14:textId="77777777" w:rsidR="00712C44" w:rsidRDefault="00712C44" w:rsidP="00C740C0">
      <w:pPr>
        <w:spacing w:after="0" w:line="240" w:lineRule="auto"/>
      </w:pPr>
      <w:r>
        <w:separator/>
      </w:r>
    </w:p>
  </w:endnote>
  <w:endnote w:type="continuationSeparator" w:id="0">
    <w:p w14:paraId="5ECDF435" w14:textId="77777777" w:rsidR="00712C44" w:rsidRDefault="00712C44" w:rsidP="00C74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oundryMonoline-Regular">
    <w:altName w:val="Malgun Gothic"/>
    <w:charset w:val="00"/>
    <w:family w:val="auto"/>
    <w:pitch w:val="variable"/>
    <w:sig w:usb0="80000027" w:usb1="0000004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1F91C" w14:textId="77777777" w:rsidR="00712C44" w:rsidRDefault="00712C44" w:rsidP="00C740C0">
      <w:pPr>
        <w:spacing w:after="0" w:line="240" w:lineRule="auto"/>
      </w:pPr>
      <w:r>
        <w:separator/>
      </w:r>
    </w:p>
  </w:footnote>
  <w:footnote w:type="continuationSeparator" w:id="0">
    <w:p w14:paraId="75A0C59F" w14:textId="77777777" w:rsidR="00712C44" w:rsidRDefault="00712C44" w:rsidP="00C740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8EB14" w14:textId="35C9D1A4" w:rsidR="00C740C0" w:rsidRDefault="00126AE3">
    <w:pPr>
      <w:pStyle w:val="Kopfzeile"/>
    </w:pPr>
    <w:r>
      <w:ptab w:relativeTo="margin" w:alignment="center" w:leader="none"/>
    </w:r>
    <w:r w:rsidRPr="00126AE3">
      <w:rPr>
        <w:rFonts w:ascii="FoundryMonoline-Regular" w:eastAsia="Times New Roman" w:hAnsi="FoundryMonoline-Regular" w:cs="Times New Roman"/>
        <w:noProof/>
        <w:sz w:val="20"/>
        <w:szCs w:val="20"/>
        <w:lang w:eastAsia="de-AT"/>
      </w:rPr>
      <w:drawing>
        <wp:inline distT="0" distB="0" distL="0" distR="0" wp14:anchorId="7EA10CD9" wp14:editId="0376D2F4">
          <wp:extent cx="1381125" cy="733425"/>
          <wp:effectExtent l="0" t="0" r="0" b="0"/>
          <wp:docPr id="1" name="Bild 1" descr="SG Logo O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 Logo Okt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733425"/>
                  </a:xfrm>
                  <a:prstGeom prst="rect">
                    <a:avLst/>
                  </a:prstGeom>
                  <a:noFill/>
                  <a:ln>
                    <a:noFill/>
                  </a:ln>
                </pic:spPr>
              </pic:pic>
            </a:graphicData>
          </a:graphic>
        </wp:inline>
      </w:drawing>
    </w:r>
    <w: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7FA"/>
    <w:rsid w:val="00126AE3"/>
    <w:rsid w:val="00712C44"/>
    <w:rsid w:val="00934D25"/>
    <w:rsid w:val="009C7657"/>
    <w:rsid w:val="00B615AF"/>
    <w:rsid w:val="00C740C0"/>
    <w:rsid w:val="00EB4DF1"/>
    <w:rsid w:val="00ED47F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58D6F"/>
  <w15:chartTrackingRefBased/>
  <w15:docId w15:val="{34460F7D-7A48-4658-90C4-51805C61A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740C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740C0"/>
  </w:style>
  <w:style w:type="paragraph" w:styleId="Fuzeile">
    <w:name w:val="footer"/>
    <w:basedOn w:val="Standard"/>
    <w:link w:val="FuzeileZchn"/>
    <w:uiPriority w:val="99"/>
    <w:unhideWhenUsed/>
    <w:rsid w:val="00C740C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740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chart" Target="charts/chart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FSERVER\mm\D-Produktion\Weingarten\Wetter\Jhrg%202021%20Wetterdaten%20Nov%2020.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AT" sz="1800" b="1" baseline="0">
                <a:solidFill>
                  <a:schemeClr val="tx1">
                    <a:lumMod val="50000"/>
                    <a:lumOff val="50000"/>
                  </a:schemeClr>
                </a:solidFill>
              </a:rPr>
              <a:t>VINTAGE 2021</a:t>
            </a:r>
            <a:endParaRPr lang="de-AT" sz="1200" b="1" baseline="0">
              <a:solidFill>
                <a:schemeClr val="tx1">
                  <a:lumMod val="50000"/>
                  <a:lumOff val="50000"/>
                </a:schemeClr>
              </a:solidFill>
            </a:endParaRPr>
          </a:p>
        </c:rich>
      </c:tx>
      <c:layout>
        <c:manualLayout>
          <c:xMode val="edge"/>
          <c:yMode val="edge"/>
          <c:x val="2.6634965692434225E-2"/>
          <c:y val="2.256034050943901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4.2836537324726302E-2"/>
          <c:y val="0.14771743326384398"/>
          <c:w val="0.92117377219739416"/>
          <c:h val="0.75546432241773254"/>
        </c:manualLayout>
      </c:layout>
      <c:barChart>
        <c:barDir val="col"/>
        <c:grouping val="clustered"/>
        <c:varyColors val="0"/>
        <c:ser>
          <c:idx val="0"/>
          <c:order val="0"/>
          <c:tx>
            <c:strRef>
              <c:f>'ag-grid'!$B$1</c:f>
              <c:strCache>
                <c:ptCount val="1"/>
                <c:pt idx="0">
                  <c:v>            Precipitation (mm)   </c:v>
                </c:pt>
              </c:strCache>
            </c:strRef>
          </c:tx>
          <c:spPr>
            <a:solidFill>
              <a:schemeClr val="accent1">
                <a:lumMod val="60000"/>
                <a:lumOff val="40000"/>
              </a:schemeClr>
            </a:solidFill>
            <a:ln>
              <a:solidFill>
                <a:schemeClr val="accent1">
                  <a:lumMod val="60000"/>
                  <a:lumOff val="40000"/>
                </a:schemeClr>
              </a:solidFill>
            </a:ln>
            <a:effectLst/>
          </c:spPr>
          <c:invertIfNegative val="0"/>
          <c:cat>
            <c:strRef>
              <c:f>'ag-grid'!$A$2:$A$12</c:f>
              <c:strCache>
                <c:ptCount val="11"/>
                <c:pt idx="0">
                  <c:v>Jän</c:v>
                </c:pt>
                <c:pt idx="1">
                  <c:v>Feb</c:v>
                </c:pt>
                <c:pt idx="2">
                  <c:v>Mär</c:v>
                </c:pt>
                <c:pt idx="3">
                  <c:v>Apr</c:v>
                </c:pt>
                <c:pt idx="4">
                  <c:v>Mai</c:v>
                </c:pt>
                <c:pt idx="5">
                  <c:v>Juni</c:v>
                </c:pt>
                <c:pt idx="6">
                  <c:v>July</c:v>
                </c:pt>
                <c:pt idx="7">
                  <c:v>Aug</c:v>
                </c:pt>
                <c:pt idx="8">
                  <c:v>Sep</c:v>
                </c:pt>
                <c:pt idx="9">
                  <c:v>Okt</c:v>
                </c:pt>
                <c:pt idx="10">
                  <c:v>Nov</c:v>
                </c:pt>
              </c:strCache>
            </c:strRef>
          </c:cat>
          <c:val>
            <c:numRef>
              <c:f>'ag-grid'!$B$2:$B$12</c:f>
              <c:numCache>
                <c:formatCode>General</c:formatCode>
                <c:ptCount val="11"/>
                <c:pt idx="0">
                  <c:v>34</c:v>
                </c:pt>
                <c:pt idx="1">
                  <c:v>10</c:v>
                </c:pt>
                <c:pt idx="2">
                  <c:v>21.6</c:v>
                </c:pt>
                <c:pt idx="3">
                  <c:v>13.6</c:v>
                </c:pt>
                <c:pt idx="4">
                  <c:v>51.4</c:v>
                </c:pt>
                <c:pt idx="5">
                  <c:v>23.2</c:v>
                </c:pt>
                <c:pt idx="6">
                  <c:v>102.2</c:v>
                </c:pt>
                <c:pt idx="7">
                  <c:v>125.2</c:v>
                </c:pt>
                <c:pt idx="8">
                  <c:v>11</c:v>
                </c:pt>
                <c:pt idx="9">
                  <c:v>14</c:v>
                </c:pt>
                <c:pt idx="10">
                  <c:v>18</c:v>
                </c:pt>
              </c:numCache>
            </c:numRef>
          </c:val>
          <c:extLst>
            <c:ext xmlns:c16="http://schemas.microsoft.com/office/drawing/2014/chart" uri="{C3380CC4-5D6E-409C-BE32-E72D297353CC}">
              <c16:uniqueId val="{00000000-3F84-43B4-9AFC-A2FE1F4525AB}"/>
            </c:ext>
          </c:extLst>
        </c:ser>
        <c:dLbls>
          <c:showLegendKey val="0"/>
          <c:showVal val="0"/>
          <c:showCatName val="0"/>
          <c:showSerName val="0"/>
          <c:showPercent val="0"/>
          <c:showBubbleSize val="0"/>
        </c:dLbls>
        <c:gapWidth val="150"/>
        <c:axId val="647576840"/>
        <c:axId val="647570280"/>
        <c:extLst>
          <c:ext xmlns:c15="http://schemas.microsoft.com/office/drawing/2012/chart" uri="{02D57815-91ED-43cb-92C2-25804820EDAC}">
            <c15:filteredBarSeries>
              <c15:ser>
                <c:idx val="2"/>
                <c:order val="2"/>
                <c:tx>
                  <c:strRef>
                    <c:extLst>
                      <c:ext uri="{02D57815-91ED-43cb-92C2-25804820EDAC}">
                        <c15:formulaRef>
                          <c15:sqref>'ag-grid'!$D$1</c15:sqref>
                        </c15:formulaRef>
                      </c:ext>
                    </c:extLst>
                    <c:strCache>
                      <c:ptCount val="1"/>
                      <c:pt idx="0">
                        <c:v>    Max Temp </c:v>
                      </c:pt>
                    </c:strCache>
                  </c:strRef>
                </c:tx>
                <c:spPr>
                  <a:solidFill>
                    <a:schemeClr val="accent3"/>
                  </a:solidFill>
                  <a:ln>
                    <a:noFill/>
                  </a:ln>
                  <a:effectLst/>
                </c:spPr>
                <c:invertIfNegative val="0"/>
                <c:cat>
                  <c:strRef>
                    <c:extLst>
                      <c:ext uri="{02D57815-91ED-43cb-92C2-25804820EDAC}">
                        <c15:formulaRef>
                          <c15:sqref>'ag-grid'!$A$2:$A$12</c15:sqref>
                        </c15:formulaRef>
                      </c:ext>
                    </c:extLst>
                    <c:strCache>
                      <c:ptCount val="11"/>
                      <c:pt idx="0">
                        <c:v>Jän</c:v>
                      </c:pt>
                      <c:pt idx="1">
                        <c:v>Feb</c:v>
                      </c:pt>
                      <c:pt idx="2">
                        <c:v>Mär</c:v>
                      </c:pt>
                      <c:pt idx="3">
                        <c:v>Apr</c:v>
                      </c:pt>
                      <c:pt idx="4">
                        <c:v>Mai</c:v>
                      </c:pt>
                      <c:pt idx="5">
                        <c:v>Juni</c:v>
                      </c:pt>
                      <c:pt idx="6">
                        <c:v>July</c:v>
                      </c:pt>
                      <c:pt idx="7">
                        <c:v>Aug</c:v>
                      </c:pt>
                      <c:pt idx="8">
                        <c:v>Sep</c:v>
                      </c:pt>
                      <c:pt idx="9">
                        <c:v>Okt</c:v>
                      </c:pt>
                      <c:pt idx="10">
                        <c:v>Nov</c:v>
                      </c:pt>
                    </c:strCache>
                  </c:strRef>
                </c:cat>
                <c:val>
                  <c:numRef>
                    <c:extLst>
                      <c:ext uri="{02D57815-91ED-43cb-92C2-25804820EDAC}">
                        <c15:formulaRef>
                          <c15:sqref>'ag-grid'!$D$2:$D$12</c15:sqref>
                        </c15:formulaRef>
                      </c:ext>
                    </c:extLst>
                    <c:numCache>
                      <c:formatCode>General</c:formatCode>
                      <c:ptCount val="11"/>
                      <c:pt idx="0">
                        <c:v>12.52</c:v>
                      </c:pt>
                      <c:pt idx="1">
                        <c:v>20.79</c:v>
                      </c:pt>
                      <c:pt idx="2">
                        <c:v>24.01</c:v>
                      </c:pt>
                      <c:pt idx="3">
                        <c:v>25.43</c:v>
                      </c:pt>
                      <c:pt idx="4">
                        <c:v>29.9</c:v>
                      </c:pt>
                      <c:pt idx="5">
                        <c:v>34.53</c:v>
                      </c:pt>
                      <c:pt idx="6">
                        <c:v>35.65</c:v>
                      </c:pt>
                      <c:pt idx="7">
                        <c:v>32.32</c:v>
                      </c:pt>
                      <c:pt idx="8">
                        <c:v>27.88</c:v>
                      </c:pt>
                      <c:pt idx="9">
                        <c:v>26.41</c:v>
                      </c:pt>
                      <c:pt idx="10">
                        <c:v>13.51</c:v>
                      </c:pt>
                    </c:numCache>
                  </c:numRef>
                </c:val>
                <c:extLst>
                  <c:ext xmlns:c16="http://schemas.microsoft.com/office/drawing/2014/chart" uri="{C3380CC4-5D6E-409C-BE32-E72D297353CC}">
                    <c16:uniqueId val="{00000002-3F84-43B4-9AFC-A2FE1F4525AB}"/>
                  </c:ext>
                </c:extLst>
              </c15:ser>
            </c15:filteredBarSeries>
          </c:ext>
        </c:extLst>
      </c:barChart>
      <c:lineChart>
        <c:grouping val="standard"/>
        <c:varyColors val="0"/>
        <c:dLbls>
          <c:showLegendKey val="0"/>
          <c:showVal val="0"/>
          <c:showCatName val="0"/>
          <c:showSerName val="0"/>
          <c:showPercent val="0"/>
          <c:showBubbleSize val="0"/>
        </c:dLbls>
        <c:marker val="1"/>
        <c:smooth val="0"/>
        <c:axId val="647576840"/>
        <c:axId val="647570280"/>
        <c:extLst>
          <c:ext xmlns:c15="http://schemas.microsoft.com/office/drawing/2012/chart" uri="{02D57815-91ED-43cb-92C2-25804820EDAC}">
            <c15:filteredLineSeries>
              <c15:ser>
                <c:idx val="4"/>
                <c:order val="4"/>
                <c:tx>
                  <c:strRef>
                    <c:extLst>
                      <c:ext uri="{02D57815-91ED-43cb-92C2-25804820EDAC}">
                        <c15:formulaRef>
                          <c15:sqref>'ag-grid'!$F$1</c15:sqref>
                        </c15:formulaRef>
                      </c:ext>
                    </c:extLst>
                    <c:strCache>
                      <c:ptCount val="1"/>
                      <c:pt idx="0">
                        <c:v>Humidity</c:v>
                      </c:pt>
                    </c:strCache>
                  </c:strRef>
                </c:tx>
                <c:spPr>
                  <a:ln w="28575" cap="rnd">
                    <a:solidFill>
                      <a:schemeClr val="accent5"/>
                    </a:solidFill>
                    <a:round/>
                  </a:ln>
                  <a:effectLst/>
                </c:spPr>
                <c:marker>
                  <c:symbol val="none"/>
                </c:marker>
                <c:cat>
                  <c:strRef>
                    <c:extLst>
                      <c:ext uri="{02D57815-91ED-43cb-92C2-25804820EDAC}">
                        <c15:formulaRef>
                          <c15:sqref>'ag-grid'!$A$2:$A$12</c15:sqref>
                        </c15:formulaRef>
                      </c:ext>
                    </c:extLst>
                    <c:strCache>
                      <c:ptCount val="11"/>
                      <c:pt idx="0">
                        <c:v>Jän</c:v>
                      </c:pt>
                      <c:pt idx="1">
                        <c:v>Feb</c:v>
                      </c:pt>
                      <c:pt idx="2">
                        <c:v>Mär</c:v>
                      </c:pt>
                      <c:pt idx="3">
                        <c:v>Apr</c:v>
                      </c:pt>
                      <c:pt idx="4">
                        <c:v>Mai</c:v>
                      </c:pt>
                      <c:pt idx="5">
                        <c:v>Juni</c:v>
                      </c:pt>
                      <c:pt idx="6">
                        <c:v>July</c:v>
                      </c:pt>
                      <c:pt idx="7">
                        <c:v>Aug</c:v>
                      </c:pt>
                      <c:pt idx="8">
                        <c:v>Sep</c:v>
                      </c:pt>
                      <c:pt idx="9">
                        <c:v>Okt</c:v>
                      </c:pt>
                      <c:pt idx="10">
                        <c:v>Nov</c:v>
                      </c:pt>
                    </c:strCache>
                  </c:strRef>
                </c:cat>
                <c:val>
                  <c:numRef>
                    <c:extLst>
                      <c:ext uri="{02D57815-91ED-43cb-92C2-25804820EDAC}">
                        <c15:formulaRef>
                          <c15:sqref>'ag-grid'!$F$2:$F$12</c15:sqref>
                        </c15:formulaRef>
                      </c:ext>
                    </c:extLst>
                    <c:numCache>
                      <c:formatCode>0.00%</c:formatCode>
                      <c:ptCount val="11"/>
                      <c:pt idx="0">
                        <c:v>0.91149999999999998</c:v>
                      </c:pt>
                      <c:pt idx="1">
                        <c:v>0.91049999999999998</c:v>
                      </c:pt>
                      <c:pt idx="2">
                        <c:v>0.76400000000000001</c:v>
                      </c:pt>
                      <c:pt idx="3">
                        <c:v>0.70850000000000002</c:v>
                      </c:pt>
                      <c:pt idx="4">
                        <c:v>0.75590000000000002</c:v>
                      </c:pt>
                      <c:pt idx="5">
                        <c:v>0.70669999999999999</c:v>
                      </c:pt>
                      <c:pt idx="6">
                        <c:v>0.75860000000000005</c:v>
                      </c:pt>
                      <c:pt idx="7">
                        <c:v>0.86399999999999999</c:v>
                      </c:pt>
                      <c:pt idx="8">
                        <c:v>0.81100000000000005</c:v>
                      </c:pt>
                      <c:pt idx="9">
                        <c:v>0.8528</c:v>
                      </c:pt>
                      <c:pt idx="10">
                        <c:v>0.89990000000000003</c:v>
                      </c:pt>
                    </c:numCache>
                  </c:numRef>
                </c:val>
                <c:smooth val="0"/>
                <c:extLst>
                  <c:ext xmlns:c16="http://schemas.microsoft.com/office/drawing/2014/chart" uri="{C3380CC4-5D6E-409C-BE32-E72D297353CC}">
                    <c16:uniqueId val="{00000004-3F84-43B4-9AFC-A2FE1F4525AB}"/>
                  </c:ext>
                </c:extLst>
              </c15:ser>
            </c15:filteredLineSeries>
          </c:ext>
        </c:extLst>
      </c:lineChart>
      <c:lineChart>
        <c:grouping val="standard"/>
        <c:varyColors val="0"/>
        <c:ser>
          <c:idx val="1"/>
          <c:order val="1"/>
          <c:tx>
            <c:strRef>
              <c:f>'ag-grid'!$C$1</c:f>
              <c:strCache>
                <c:ptCount val="1"/>
                <c:pt idx="0">
                  <c:v>  Temp Avg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'ag-grid'!$A$2:$A$12</c:f>
              <c:strCache>
                <c:ptCount val="11"/>
                <c:pt idx="0">
                  <c:v>Jän</c:v>
                </c:pt>
                <c:pt idx="1">
                  <c:v>Feb</c:v>
                </c:pt>
                <c:pt idx="2">
                  <c:v>Mär</c:v>
                </c:pt>
                <c:pt idx="3">
                  <c:v>Apr</c:v>
                </c:pt>
                <c:pt idx="4">
                  <c:v>Mai</c:v>
                </c:pt>
                <c:pt idx="5">
                  <c:v>Juni</c:v>
                </c:pt>
                <c:pt idx="6">
                  <c:v>July</c:v>
                </c:pt>
                <c:pt idx="7">
                  <c:v>Aug</c:v>
                </c:pt>
                <c:pt idx="8">
                  <c:v>Sep</c:v>
                </c:pt>
                <c:pt idx="9">
                  <c:v>Okt</c:v>
                </c:pt>
                <c:pt idx="10">
                  <c:v>Nov</c:v>
                </c:pt>
              </c:strCache>
            </c:strRef>
          </c:cat>
          <c:val>
            <c:numRef>
              <c:f>'ag-grid'!$C$2:$C$12</c:f>
              <c:numCache>
                <c:formatCode>General</c:formatCode>
                <c:ptCount val="11"/>
                <c:pt idx="0">
                  <c:v>0.34</c:v>
                </c:pt>
                <c:pt idx="1">
                  <c:v>1.51</c:v>
                </c:pt>
                <c:pt idx="2">
                  <c:v>4.6399999999999997</c:v>
                </c:pt>
                <c:pt idx="3">
                  <c:v>7.75</c:v>
                </c:pt>
                <c:pt idx="4">
                  <c:v>12.61</c:v>
                </c:pt>
                <c:pt idx="5">
                  <c:v>21.06</c:v>
                </c:pt>
                <c:pt idx="6">
                  <c:v>21.42</c:v>
                </c:pt>
                <c:pt idx="7">
                  <c:v>18.04</c:v>
                </c:pt>
                <c:pt idx="8">
                  <c:v>15.78</c:v>
                </c:pt>
                <c:pt idx="9">
                  <c:v>8.8000000000000007</c:v>
                </c:pt>
                <c:pt idx="10">
                  <c:v>4.67</c:v>
                </c:pt>
              </c:numCache>
            </c:numRef>
          </c:val>
          <c:smooth val="0"/>
          <c:extLst>
            <c:ext xmlns:c16="http://schemas.microsoft.com/office/drawing/2014/chart" uri="{C3380CC4-5D6E-409C-BE32-E72D297353CC}">
              <c16:uniqueId val="{00000001-3F84-43B4-9AFC-A2FE1F4525AB}"/>
            </c:ext>
          </c:extLst>
        </c:ser>
        <c:dLbls>
          <c:showLegendKey val="0"/>
          <c:showVal val="0"/>
          <c:showCatName val="0"/>
          <c:showSerName val="0"/>
          <c:showPercent val="0"/>
          <c:showBubbleSize val="0"/>
        </c:dLbls>
        <c:marker val="1"/>
        <c:smooth val="0"/>
        <c:axId val="647574544"/>
        <c:axId val="647571264"/>
        <c:extLst>
          <c:ext xmlns:c15="http://schemas.microsoft.com/office/drawing/2012/chart" uri="{02D57815-91ED-43cb-92C2-25804820EDAC}">
            <c15:filteredLineSeries>
              <c15:ser>
                <c:idx val="3"/>
                <c:order val="3"/>
                <c:tx>
                  <c:strRef>
                    <c:extLst>
                      <c:ext uri="{02D57815-91ED-43cb-92C2-25804820EDAC}">
                        <c15:formulaRef>
                          <c15:sqref>'ag-grid'!$E$1</c15:sqref>
                        </c15:formulaRef>
                      </c:ext>
                    </c:extLst>
                    <c:strCache>
                      <c:ptCount val="1"/>
                      <c:pt idx="0">
                        <c:v>   Min Temp</c:v>
                      </c:pt>
                    </c:strCache>
                  </c:strRef>
                </c:tx>
                <c:spPr>
                  <a:ln w="28575" cap="rnd">
                    <a:solidFill>
                      <a:schemeClr val="accent4"/>
                    </a:solidFill>
                    <a:round/>
                  </a:ln>
                  <a:effectLst/>
                </c:spPr>
                <c:marker>
                  <c:symbol val="none"/>
                </c:marker>
                <c:cat>
                  <c:strRef>
                    <c:extLst>
                      <c:ext uri="{02D57815-91ED-43cb-92C2-25804820EDAC}">
                        <c15:formulaRef>
                          <c15:sqref>'ag-grid'!$A$2:$A$12</c15:sqref>
                        </c15:formulaRef>
                      </c:ext>
                    </c:extLst>
                    <c:strCache>
                      <c:ptCount val="11"/>
                      <c:pt idx="0">
                        <c:v>Jän</c:v>
                      </c:pt>
                      <c:pt idx="1">
                        <c:v>Feb</c:v>
                      </c:pt>
                      <c:pt idx="2">
                        <c:v>Mär</c:v>
                      </c:pt>
                      <c:pt idx="3">
                        <c:v>Apr</c:v>
                      </c:pt>
                      <c:pt idx="4">
                        <c:v>Mai</c:v>
                      </c:pt>
                      <c:pt idx="5">
                        <c:v>Juni</c:v>
                      </c:pt>
                      <c:pt idx="6">
                        <c:v>July</c:v>
                      </c:pt>
                      <c:pt idx="7">
                        <c:v>Aug</c:v>
                      </c:pt>
                      <c:pt idx="8">
                        <c:v>Sep</c:v>
                      </c:pt>
                      <c:pt idx="9">
                        <c:v>Okt</c:v>
                      </c:pt>
                      <c:pt idx="10">
                        <c:v>Nov</c:v>
                      </c:pt>
                    </c:strCache>
                  </c:strRef>
                </c:cat>
                <c:val>
                  <c:numRef>
                    <c:extLst>
                      <c:ext uri="{02D57815-91ED-43cb-92C2-25804820EDAC}">
                        <c15:formulaRef>
                          <c15:sqref>'ag-grid'!$E$2:$E$12</c15:sqref>
                        </c15:formulaRef>
                      </c:ext>
                    </c:extLst>
                    <c:numCache>
                      <c:formatCode>General</c:formatCode>
                      <c:ptCount val="11"/>
                      <c:pt idx="0">
                        <c:v>-12.17</c:v>
                      </c:pt>
                      <c:pt idx="1">
                        <c:v>-11.84</c:v>
                      </c:pt>
                      <c:pt idx="2">
                        <c:v>-6.82</c:v>
                      </c:pt>
                      <c:pt idx="3">
                        <c:v>-6.21</c:v>
                      </c:pt>
                      <c:pt idx="4">
                        <c:v>-0.48</c:v>
                      </c:pt>
                      <c:pt idx="5">
                        <c:v>5.79</c:v>
                      </c:pt>
                      <c:pt idx="6">
                        <c:v>10.44</c:v>
                      </c:pt>
                      <c:pt idx="7">
                        <c:v>7.35</c:v>
                      </c:pt>
                      <c:pt idx="8">
                        <c:v>5.2</c:v>
                      </c:pt>
                      <c:pt idx="9">
                        <c:v>-3.13</c:v>
                      </c:pt>
                      <c:pt idx="10">
                        <c:v>-3.64</c:v>
                      </c:pt>
                    </c:numCache>
                  </c:numRef>
                </c:val>
                <c:smooth val="0"/>
                <c:extLst>
                  <c:ext xmlns:c16="http://schemas.microsoft.com/office/drawing/2014/chart" uri="{C3380CC4-5D6E-409C-BE32-E72D297353CC}">
                    <c16:uniqueId val="{00000003-3F84-43B4-9AFC-A2FE1F4525AB}"/>
                  </c:ext>
                </c:extLst>
              </c15:ser>
            </c15:filteredLineSeries>
          </c:ext>
        </c:extLst>
      </c:lineChart>
      <c:catAx>
        <c:axId val="64757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47570280"/>
        <c:crosses val="autoZero"/>
        <c:auto val="1"/>
        <c:lblAlgn val="ctr"/>
        <c:lblOffset val="100"/>
        <c:noMultiLvlLbl val="0"/>
      </c:catAx>
      <c:valAx>
        <c:axId val="647570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47576840"/>
        <c:crosses val="autoZero"/>
        <c:crossBetween val="between"/>
      </c:valAx>
      <c:valAx>
        <c:axId val="64757126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47574544"/>
        <c:crosses val="max"/>
        <c:crossBetween val="between"/>
      </c:valAx>
      <c:catAx>
        <c:axId val="647574544"/>
        <c:scaling>
          <c:orientation val="minMax"/>
        </c:scaling>
        <c:delete val="1"/>
        <c:axPos val="b"/>
        <c:numFmt formatCode="General" sourceLinked="1"/>
        <c:majorTickMark val="none"/>
        <c:minorTickMark val="none"/>
        <c:tickLblPos val="nextTo"/>
        <c:crossAx val="647571264"/>
        <c:crosses val="autoZero"/>
        <c:auto val="1"/>
        <c:lblAlgn val="ctr"/>
        <c:lblOffset val="100"/>
        <c:noMultiLvlLbl val="0"/>
      </c:catAx>
      <c:spPr>
        <a:noFill/>
        <a:ln>
          <a:noFill/>
        </a:ln>
        <a:effectLst/>
      </c:spPr>
    </c:plotArea>
    <c:legend>
      <c:legendPos val="b"/>
      <c:layout>
        <c:manualLayout>
          <c:xMode val="edge"/>
          <c:yMode val="edge"/>
          <c:x val="0.24644679831687705"/>
          <c:y val="0.94793237238433736"/>
          <c:w val="0.50710640336624591"/>
          <c:h val="5.20676276156625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jpg"/></Relationships>
</file>

<file path=word/drawings/drawing1.xml><?xml version="1.0" encoding="utf-8"?>
<c:userShapes xmlns:c="http://schemas.openxmlformats.org/drawingml/2006/chart">
  <cdr:relSizeAnchor xmlns:cdr="http://schemas.openxmlformats.org/drawingml/2006/chartDrawing">
    <cdr:from>
      <cdr:x>0.41216</cdr:x>
      <cdr:y>0.00788</cdr:y>
    </cdr:from>
    <cdr:to>
      <cdr:x>0.59234</cdr:x>
      <cdr:y>0.13144</cdr:y>
    </cdr:to>
    <cdr:pic>
      <cdr:nvPicPr>
        <cdr:cNvPr id="3" name="Grafik 2">
          <a:extLst xmlns:a="http://schemas.openxmlformats.org/drawingml/2006/main">
            <a:ext uri="{FF2B5EF4-FFF2-40B4-BE49-F238E27FC236}">
              <a16:creationId xmlns:a16="http://schemas.microsoft.com/office/drawing/2014/main" id="{D76CB856-274D-40DF-B1E1-4E0091E82925}"/>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486150" y="47625"/>
          <a:ext cx="1524000" cy="746760"/>
        </a:xfrm>
        <a:prstGeom xmlns:a="http://schemas.openxmlformats.org/drawingml/2006/main" prst="rect">
          <a:avLst/>
        </a:prstGeom>
      </cdr:spPr>
    </cdr:pic>
  </cdr:relSizeAnchor>
  <cdr:relSizeAnchor xmlns:cdr="http://schemas.openxmlformats.org/drawingml/2006/chartDrawing">
    <cdr:from>
      <cdr:x>0.62629</cdr:x>
      <cdr:y>0</cdr:y>
    </cdr:from>
    <cdr:to>
      <cdr:x>0.98584</cdr:x>
      <cdr:y>0.1481</cdr:y>
    </cdr:to>
    <cdr:sp macro="" textlink="">
      <cdr:nvSpPr>
        <cdr:cNvPr id="4" name="Textfeld 3">
          <a:extLst xmlns:a="http://schemas.openxmlformats.org/drawingml/2006/main">
            <a:ext uri="{FF2B5EF4-FFF2-40B4-BE49-F238E27FC236}">
              <a16:creationId xmlns:a16="http://schemas.microsoft.com/office/drawing/2014/main" id="{060275F9-D587-439B-967F-BA0ABC030E91}"/>
            </a:ext>
          </a:extLst>
        </cdr:cNvPr>
        <cdr:cNvSpPr txBox="1"/>
      </cdr:nvSpPr>
      <cdr:spPr>
        <a:xfrm xmlns:a="http://schemas.openxmlformats.org/drawingml/2006/main">
          <a:off x="3463925" y="0"/>
          <a:ext cx="1988608" cy="558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de-AT" sz="1400">
              <a:solidFill>
                <a:schemeClr val="tx1">
                  <a:lumMod val="50000"/>
                  <a:lumOff val="50000"/>
                </a:schemeClr>
              </a:solidFill>
            </a:rPr>
            <a:t>53 hl/ha</a:t>
          </a:r>
        </a:p>
        <a:p xmlns:a="http://schemas.openxmlformats.org/drawingml/2006/main">
          <a:pPr algn="r"/>
          <a:r>
            <a:rPr lang="de-AT" sz="1100">
              <a:solidFill>
                <a:schemeClr val="tx1">
                  <a:lumMod val="50000"/>
                  <a:lumOff val="50000"/>
                </a:schemeClr>
              </a:solidFill>
            </a:rPr>
            <a:t>Total Precipitation: 450</a:t>
          </a:r>
          <a:r>
            <a:rPr lang="de-AT" sz="1100" baseline="0">
              <a:solidFill>
                <a:schemeClr val="tx1">
                  <a:lumMod val="50000"/>
                  <a:lumOff val="50000"/>
                </a:schemeClr>
              </a:solidFill>
            </a:rPr>
            <a:t> lt/m² </a:t>
          </a:r>
          <a:endParaRPr lang="de-AT" sz="1100">
            <a:solidFill>
              <a:schemeClr val="tx1">
                <a:lumMod val="50000"/>
                <a:lumOff val="50000"/>
              </a:schemeClr>
            </a:solidFill>
          </a:endParaRPr>
        </a:p>
      </cdr:txBody>
    </cdr:sp>
  </cdr:relSizeAnchor>
</c:userShape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2E590-708C-4F8B-A226-B376E0E57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251</Words>
  <Characters>1584</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Tabery Stephan</dc:creator>
  <cp:keywords/>
  <dc:description/>
  <cp:lastModifiedBy>Tabery Stephan</cp:lastModifiedBy>
  <cp:revision>1</cp:revision>
  <cp:lastPrinted>2022-07-27T09:39:00Z</cp:lastPrinted>
  <dcterms:created xsi:type="dcterms:W3CDTF">2022-07-27T09:12:00Z</dcterms:created>
  <dcterms:modified xsi:type="dcterms:W3CDTF">2022-07-27T09:40:00Z</dcterms:modified>
</cp:coreProperties>
</file>