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59E2EE" w14:textId="77777777" w:rsidR="009C4616" w:rsidRDefault="009C4616" w:rsidP="009C4616">
      <w:pPr>
        <w:jc w:val="both"/>
      </w:pPr>
      <w:bookmarkStart w:id="0" w:name="_Hlk59291021"/>
      <w:r>
        <w:rPr>
          <w:b/>
        </w:rPr>
        <w:t>JAHRGANG 2020</w:t>
      </w:r>
      <w:r>
        <w:t xml:space="preserve"> – Jahrgang 850 des klösterlichen Weingutes. Wie in den letzten Jahren erleben wir einen trockenen Winter. Die warmen Temperaturen im März und April beflügeln die Sorgen hinsichtlich eines Frühjahrsfrostes und führen zu einem frühen Austrieb. Ab Mai beginnt es mehr und mehr zu regnen. Untypisch zum Rest von Europa, wo es in den meisten Weinbaugebieten in Atlantik Nähe heiß und trocken ist, erleben wir einen kühlen und nassen Sommer. Im Juli regnet es sogar über 200mm. Über den ganzen Sommer gibt es auch nur 13 Tage mit über 30°C. So trocken und braun es Ende April ausgesehen hatte, so grün war es dann Ende Juli. So früh es zu Beginn des Jahres ausgesehen hatte, so sehr hat sich dann über den Sommer auch die Reife verzögert. Ende Juli sind die Weingärten in einem Prachtvollen Zustand. </w:t>
      </w:r>
    </w:p>
    <w:p w14:paraId="316396F5" w14:textId="77777777" w:rsidR="009C4616" w:rsidRPr="00092F7B" w:rsidRDefault="009C4616" w:rsidP="009C4616">
      <w:pPr>
        <w:jc w:val="both"/>
        <w:rPr>
          <w:lang w:val="de-AT"/>
        </w:rPr>
      </w:pPr>
      <w:r>
        <w:t xml:space="preserve">Die Lese beginnt am 14. </w:t>
      </w:r>
      <w:r w:rsidRPr="00092F7B">
        <w:rPr>
          <w:lang w:val="de-AT"/>
        </w:rPr>
        <w:t xml:space="preserve">Sep mit der Lese für den </w:t>
      </w:r>
      <w:r w:rsidRPr="00E76D06">
        <w:rPr>
          <w:i/>
          <w:iCs/>
          <w:lang w:val="de-AT"/>
        </w:rPr>
        <w:t>Brut Rosé, Blanc de Blancs</w:t>
      </w:r>
      <w:r w:rsidRPr="00092F7B">
        <w:rPr>
          <w:lang w:val="de-AT"/>
        </w:rPr>
        <w:t xml:space="preserve"> und den</w:t>
      </w:r>
      <w:r>
        <w:rPr>
          <w:lang w:val="de-AT"/>
        </w:rPr>
        <w:t xml:space="preserve"> </w:t>
      </w:r>
      <w:r w:rsidRPr="00E76D06">
        <w:rPr>
          <w:i/>
          <w:iCs/>
          <w:lang w:val="de-AT"/>
        </w:rPr>
        <w:t>Brut Reserve</w:t>
      </w:r>
      <w:r>
        <w:rPr>
          <w:lang w:val="de-AT"/>
        </w:rPr>
        <w:t xml:space="preserve">. Ende September beginnen wir mit den Gebietsweinen, den Ortsweinen und erst im November mit den </w:t>
      </w:r>
      <w:proofErr w:type="spellStart"/>
      <w:r>
        <w:rPr>
          <w:lang w:val="de-AT"/>
        </w:rPr>
        <w:t>Riedenweinen</w:t>
      </w:r>
      <w:proofErr w:type="spellEnd"/>
      <w:r>
        <w:rPr>
          <w:lang w:val="de-AT"/>
        </w:rPr>
        <w:t xml:space="preserve">. Die Rotweine werden ungewöhnlich spät - beginnend mit dem 18. Oktober - geerntet. Nebelreisen und Fallweise Regen zwingen uns immer wieder Pausen einzulegen und verzögert den Leseabschluss bis zum 14. Nov – genau zwei Monate nach Lesebeginn. Die Mengen sind klein (45 hl/ha). Der viele Niederschlag </w:t>
      </w:r>
      <w:proofErr w:type="gramStart"/>
      <w:r>
        <w:rPr>
          <w:lang w:val="de-AT"/>
        </w:rPr>
        <w:t>hat</w:t>
      </w:r>
      <w:proofErr w:type="gramEnd"/>
      <w:r>
        <w:rPr>
          <w:lang w:val="de-AT"/>
        </w:rPr>
        <w:t xml:space="preserve"> auch seinen Tribut gekostet. Je länger die Lese andauerte, desto mehr musste selektioniert werden. </w:t>
      </w:r>
    </w:p>
    <w:p w14:paraId="54A30E51" w14:textId="77777777" w:rsidR="009C4616" w:rsidRPr="00092F7B" w:rsidRDefault="009C4616" w:rsidP="009C4616">
      <w:pPr>
        <w:jc w:val="both"/>
        <w:rPr>
          <w:lang w:val="de-AT"/>
        </w:rPr>
      </w:pPr>
    </w:p>
    <w:p w14:paraId="0E69270D" w14:textId="77777777" w:rsidR="009C4616" w:rsidRPr="00404DF3" w:rsidRDefault="009C4616" w:rsidP="009C4616">
      <w:pPr>
        <w:jc w:val="both"/>
        <w:rPr>
          <w:b/>
          <w:bCs/>
          <w:lang w:val="en-GB"/>
        </w:rPr>
      </w:pPr>
      <w:bookmarkStart w:id="1" w:name="_Hlk57616163"/>
      <w:r w:rsidRPr="00092F7B">
        <w:rPr>
          <w:b/>
          <w:bCs/>
          <w:lang w:val="de-AT"/>
        </w:rPr>
        <w:t xml:space="preserve">            </w:t>
      </w:r>
      <w:r w:rsidRPr="00404DF3">
        <w:rPr>
          <w:b/>
          <w:bCs/>
          <w:lang w:val="en-GB"/>
        </w:rPr>
        <w:t xml:space="preserve">Precipitation(mm)     Temp </w:t>
      </w:r>
      <w:proofErr w:type="spellStart"/>
      <w:proofErr w:type="gramStart"/>
      <w:r w:rsidRPr="00404DF3">
        <w:rPr>
          <w:b/>
          <w:bCs/>
          <w:lang w:val="en-GB"/>
        </w:rPr>
        <w:t>Avg</w:t>
      </w:r>
      <w:proofErr w:type="spellEnd"/>
      <w:r w:rsidRPr="00404DF3">
        <w:rPr>
          <w:b/>
          <w:bCs/>
          <w:lang w:val="en-GB"/>
        </w:rPr>
        <w:t xml:space="preserve">  </w:t>
      </w:r>
      <w:r w:rsidRPr="00404DF3">
        <w:rPr>
          <w:b/>
          <w:bCs/>
          <w:lang w:val="en-GB"/>
        </w:rPr>
        <w:tab/>
      </w:r>
      <w:proofErr w:type="gramEnd"/>
      <w:r w:rsidRPr="00404DF3">
        <w:rPr>
          <w:b/>
          <w:bCs/>
          <w:lang w:val="en-GB"/>
        </w:rPr>
        <w:t xml:space="preserve">    Max Temp    Min Temp</w:t>
      </w:r>
      <w:r w:rsidRPr="00404DF3">
        <w:rPr>
          <w:b/>
          <w:bCs/>
          <w:lang w:val="en-GB"/>
        </w:rPr>
        <w:tab/>
        <w:t>Humidity</w:t>
      </w:r>
    </w:p>
    <w:p w14:paraId="730BC73B" w14:textId="77777777" w:rsidR="009C4616" w:rsidRPr="00404DF3" w:rsidRDefault="009C4616" w:rsidP="009C4616">
      <w:pPr>
        <w:tabs>
          <w:tab w:val="decimal" w:pos="1276"/>
          <w:tab w:val="decimal" w:pos="2835"/>
          <w:tab w:val="decimal" w:pos="4395"/>
          <w:tab w:val="decimal" w:pos="5387"/>
          <w:tab w:val="decimal" w:pos="6804"/>
        </w:tabs>
        <w:jc w:val="both"/>
        <w:rPr>
          <w:lang w:val="en-GB"/>
        </w:rPr>
      </w:pPr>
      <w:proofErr w:type="spellStart"/>
      <w:r w:rsidRPr="00404DF3">
        <w:rPr>
          <w:lang w:val="en-GB"/>
        </w:rPr>
        <w:t>Jän</w:t>
      </w:r>
      <w:proofErr w:type="spellEnd"/>
      <w:r w:rsidRPr="00404DF3">
        <w:rPr>
          <w:lang w:val="en-GB"/>
        </w:rPr>
        <w:tab/>
        <w:t>17</w:t>
      </w:r>
      <w:r w:rsidRPr="00404DF3">
        <w:rPr>
          <w:lang w:val="en-GB"/>
        </w:rPr>
        <w:tab/>
        <w:t>0,2</w:t>
      </w:r>
      <w:r w:rsidRPr="00404DF3">
        <w:rPr>
          <w:lang w:val="en-GB"/>
        </w:rPr>
        <w:tab/>
        <w:t>13,44</w:t>
      </w:r>
      <w:r w:rsidRPr="00404DF3">
        <w:rPr>
          <w:lang w:val="en-GB"/>
        </w:rPr>
        <w:tab/>
        <w:t>-7,24</w:t>
      </w:r>
      <w:r w:rsidRPr="00404DF3">
        <w:rPr>
          <w:lang w:val="en-GB"/>
        </w:rPr>
        <w:tab/>
        <w:t>94,3%</w:t>
      </w:r>
    </w:p>
    <w:p w14:paraId="25E71467" w14:textId="77777777" w:rsidR="009C4616" w:rsidRPr="00404DF3" w:rsidRDefault="009C4616" w:rsidP="009C4616">
      <w:pPr>
        <w:tabs>
          <w:tab w:val="decimal" w:pos="1276"/>
          <w:tab w:val="decimal" w:pos="2835"/>
          <w:tab w:val="decimal" w:pos="4395"/>
          <w:tab w:val="decimal" w:pos="5387"/>
          <w:tab w:val="decimal" w:pos="6804"/>
        </w:tabs>
        <w:jc w:val="both"/>
        <w:rPr>
          <w:lang w:val="en-GB"/>
        </w:rPr>
      </w:pPr>
      <w:r w:rsidRPr="00404DF3">
        <w:rPr>
          <w:lang w:val="en-GB"/>
        </w:rPr>
        <w:t>Feb</w:t>
      </w:r>
      <w:r w:rsidRPr="00404DF3">
        <w:rPr>
          <w:lang w:val="en-GB"/>
        </w:rPr>
        <w:tab/>
        <w:t>29</w:t>
      </w:r>
      <w:r w:rsidRPr="00404DF3">
        <w:rPr>
          <w:lang w:val="en-GB"/>
        </w:rPr>
        <w:tab/>
        <w:t>5,2</w:t>
      </w:r>
      <w:r w:rsidRPr="00404DF3">
        <w:rPr>
          <w:lang w:val="en-GB"/>
        </w:rPr>
        <w:tab/>
        <w:t>17,07</w:t>
      </w:r>
      <w:r w:rsidRPr="00404DF3">
        <w:rPr>
          <w:lang w:val="en-GB"/>
        </w:rPr>
        <w:tab/>
        <w:t>-5,31</w:t>
      </w:r>
      <w:r w:rsidRPr="00404DF3">
        <w:rPr>
          <w:lang w:val="en-GB"/>
        </w:rPr>
        <w:tab/>
        <w:t>77,5%</w:t>
      </w:r>
    </w:p>
    <w:p w14:paraId="2D067189" w14:textId="77777777" w:rsidR="009C4616" w:rsidRPr="00404DF3" w:rsidRDefault="009C4616" w:rsidP="009C4616">
      <w:pPr>
        <w:tabs>
          <w:tab w:val="decimal" w:pos="1276"/>
          <w:tab w:val="decimal" w:pos="2835"/>
          <w:tab w:val="decimal" w:pos="4395"/>
          <w:tab w:val="decimal" w:pos="5387"/>
          <w:tab w:val="decimal" w:pos="6804"/>
        </w:tabs>
        <w:jc w:val="both"/>
        <w:rPr>
          <w:lang w:val="en-GB"/>
        </w:rPr>
      </w:pPr>
      <w:proofErr w:type="spellStart"/>
      <w:r w:rsidRPr="00404DF3">
        <w:rPr>
          <w:lang w:val="en-GB"/>
        </w:rPr>
        <w:t>Mär</w:t>
      </w:r>
      <w:proofErr w:type="spellEnd"/>
      <w:r w:rsidRPr="00404DF3">
        <w:rPr>
          <w:lang w:val="en-GB"/>
        </w:rPr>
        <w:tab/>
        <w:t>18</w:t>
      </w:r>
      <w:r w:rsidRPr="00404DF3">
        <w:rPr>
          <w:lang w:val="en-GB"/>
        </w:rPr>
        <w:tab/>
        <w:t>6,4</w:t>
      </w:r>
      <w:r w:rsidRPr="00404DF3">
        <w:rPr>
          <w:lang w:val="en-GB"/>
        </w:rPr>
        <w:tab/>
        <w:t>21,65</w:t>
      </w:r>
      <w:r w:rsidRPr="00404DF3">
        <w:rPr>
          <w:lang w:val="en-GB"/>
        </w:rPr>
        <w:tab/>
        <w:t>-6,11</w:t>
      </w:r>
      <w:r w:rsidRPr="00404DF3">
        <w:rPr>
          <w:lang w:val="en-GB"/>
        </w:rPr>
        <w:tab/>
        <w:t>65,6%</w:t>
      </w:r>
    </w:p>
    <w:p w14:paraId="6B3E5E7F" w14:textId="77777777" w:rsidR="009C4616" w:rsidRDefault="009C4616" w:rsidP="009C4616">
      <w:pPr>
        <w:tabs>
          <w:tab w:val="decimal" w:pos="1276"/>
          <w:tab w:val="decimal" w:pos="2835"/>
          <w:tab w:val="decimal" w:pos="4395"/>
          <w:tab w:val="decimal" w:pos="5387"/>
          <w:tab w:val="decimal" w:pos="6804"/>
        </w:tabs>
        <w:jc w:val="both"/>
      </w:pPr>
      <w:r>
        <w:t>Apr</w:t>
      </w:r>
      <w:r>
        <w:tab/>
        <w:t>7</w:t>
      </w:r>
      <w:r>
        <w:tab/>
        <w:t>11,6</w:t>
      </w:r>
      <w:r>
        <w:tab/>
        <w:t>26,05</w:t>
      </w:r>
      <w:r>
        <w:tab/>
        <w:t>-6,9</w:t>
      </w:r>
      <w:r>
        <w:tab/>
        <w:t>49,9%</w:t>
      </w:r>
    </w:p>
    <w:p w14:paraId="52BC2426" w14:textId="77777777" w:rsidR="009C4616" w:rsidRPr="00B71470" w:rsidRDefault="009C4616" w:rsidP="009C4616">
      <w:pPr>
        <w:tabs>
          <w:tab w:val="decimal" w:pos="1276"/>
          <w:tab w:val="decimal" w:pos="2835"/>
          <w:tab w:val="decimal" w:pos="4395"/>
          <w:tab w:val="decimal" w:pos="5387"/>
          <w:tab w:val="decimal" w:pos="6804"/>
        </w:tabs>
        <w:jc w:val="both"/>
        <w:rPr>
          <w:lang w:val="en-GB"/>
        </w:rPr>
      </w:pPr>
      <w:r w:rsidRPr="00B71470">
        <w:rPr>
          <w:lang w:val="en-GB"/>
        </w:rPr>
        <w:t>Mai</w:t>
      </w:r>
      <w:r w:rsidRPr="00B71470">
        <w:rPr>
          <w:lang w:val="en-GB"/>
        </w:rPr>
        <w:tab/>
        <w:t>53,8</w:t>
      </w:r>
      <w:r w:rsidRPr="00B71470">
        <w:rPr>
          <w:lang w:val="en-GB"/>
        </w:rPr>
        <w:tab/>
        <w:t>13,7</w:t>
      </w:r>
      <w:r w:rsidRPr="00B71470">
        <w:rPr>
          <w:lang w:val="en-GB"/>
        </w:rPr>
        <w:tab/>
        <w:t>27,89</w:t>
      </w:r>
      <w:r w:rsidRPr="00B71470">
        <w:rPr>
          <w:lang w:val="en-GB"/>
        </w:rPr>
        <w:tab/>
        <w:t>2,37</w:t>
      </w:r>
      <w:r w:rsidRPr="00B71470">
        <w:rPr>
          <w:lang w:val="en-GB"/>
        </w:rPr>
        <w:tab/>
        <w:t>67,2%</w:t>
      </w:r>
    </w:p>
    <w:p w14:paraId="16C3A2F2" w14:textId="77777777" w:rsidR="009C4616" w:rsidRPr="00B71470" w:rsidRDefault="009C4616" w:rsidP="009C4616">
      <w:pPr>
        <w:tabs>
          <w:tab w:val="decimal" w:pos="1276"/>
          <w:tab w:val="decimal" w:pos="2835"/>
          <w:tab w:val="decimal" w:pos="4395"/>
          <w:tab w:val="decimal" w:pos="5387"/>
          <w:tab w:val="decimal" w:pos="6804"/>
        </w:tabs>
        <w:jc w:val="both"/>
        <w:rPr>
          <w:lang w:val="en-GB"/>
        </w:rPr>
      </w:pPr>
      <w:proofErr w:type="spellStart"/>
      <w:r w:rsidRPr="00B71470">
        <w:rPr>
          <w:lang w:val="en-GB"/>
        </w:rPr>
        <w:t>Juni</w:t>
      </w:r>
      <w:proofErr w:type="spellEnd"/>
      <w:r w:rsidRPr="00B71470">
        <w:rPr>
          <w:lang w:val="en-GB"/>
        </w:rPr>
        <w:tab/>
        <w:t>121</w:t>
      </w:r>
      <w:r w:rsidRPr="00B71470">
        <w:rPr>
          <w:lang w:val="en-GB"/>
        </w:rPr>
        <w:tab/>
        <w:t>18</w:t>
      </w:r>
      <w:r w:rsidRPr="00B71470">
        <w:rPr>
          <w:lang w:val="en-GB"/>
        </w:rPr>
        <w:tab/>
        <w:t>31,8 (1)</w:t>
      </w:r>
      <w:r w:rsidRPr="00B71470">
        <w:rPr>
          <w:lang w:val="en-GB"/>
        </w:rPr>
        <w:tab/>
        <w:t>8,16</w:t>
      </w:r>
      <w:r w:rsidRPr="00B71470">
        <w:rPr>
          <w:lang w:val="en-GB"/>
        </w:rPr>
        <w:tab/>
        <w:t>81,4%</w:t>
      </w:r>
    </w:p>
    <w:p w14:paraId="6A4EC8EC" w14:textId="77777777" w:rsidR="009C4616" w:rsidRPr="00B71470" w:rsidRDefault="009C4616" w:rsidP="009C4616">
      <w:pPr>
        <w:tabs>
          <w:tab w:val="decimal" w:pos="1276"/>
          <w:tab w:val="decimal" w:pos="2835"/>
          <w:tab w:val="decimal" w:pos="4395"/>
          <w:tab w:val="decimal" w:pos="5387"/>
          <w:tab w:val="decimal" w:pos="6804"/>
        </w:tabs>
        <w:jc w:val="both"/>
        <w:rPr>
          <w:lang w:val="en-GB"/>
        </w:rPr>
      </w:pPr>
      <w:r w:rsidRPr="00B71470">
        <w:rPr>
          <w:lang w:val="en-GB"/>
        </w:rPr>
        <w:t>July</w:t>
      </w:r>
      <w:r w:rsidRPr="00B71470">
        <w:rPr>
          <w:lang w:val="en-GB"/>
        </w:rPr>
        <w:tab/>
        <w:t>213</w:t>
      </w:r>
      <w:r w:rsidRPr="00B71470">
        <w:rPr>
          <w:lang w:val="en-GB"/>
        </w:rPr>
        <w:tab/>
        <w:t>19,5</w:t>
      </w:r>
      <w:r w:rsidRPr="00B71470">
        <w:rPr>
          <w:lang w:val="en-GB"/>
        </w:rPr>
        <w:tab/>
        <w:t>36,1 (4)</w:t>
      </w:r>
      <w:r w:rsidRPr="00B71470">
        <w:rPr>
          <w:lang w:val="en-GB"/>
        </w:rPr>
        <w:tab/>
        <w:t>6,49</w:t>
      </w:r>
      <w:r w:rsidRPr="00B71470">
        <w:rPr>
          <w:lang w:val="en-GB"/>
        </w:rPr>
        <w:tab/>
        <w:t>79,2%</w:t>
      </w:r>
    </w:p>
    <w:p w14:paraId="6B7EE99D" w14:textId="77777777" w:rsidR="009C4616" w:rsidRPr="00B71470" w:rsidRDefault="009C4616" w:rsidP="009C4616">
      <w:pPr>
        <w:tabs>
          <w:tab w:val="decimal" w:pos="1276"/>
          <w:tab w:val="decimal" w:pos="2835"/>
          <w:tab w:val="decimal" w:pos="4395"/>
          <w:tab w:val="decimal" w:pos="5387"/>
          <w:tab w:val="decimal" w:pos="6804"/>
        </w:tabs>
        <w:jc w:val="both"/>
        <w:rPr>
          <w:lang w:val="en-GB"/>
        </w:rPr>
      </w:pPr>
      <w:r w:rsidRPr="00B71470">
        <w:rPr>
          <w:lang w:val="en-GB"/>
        </w:rPr>
        <w:t>Aug</w:t>
      </w:r>
      <w:r w:rsidRPr="00B71470">
        <w:rPr>
          <w:lang w:val="en-GB"/>
        </w:rPr>
        <w:tab/>
        <w:t>93,6</w:t>
      </w:r>
      <w:r w:rsidRPr="00B71470">
        <w:rPr>
          <w:lang w:val="en-GB"/>
        </w:rPr>
        <w:tab/>
        <w:t>20,5</w:t>
      </w:r>
      <w:r w:rsidRPr="00B71470">
        <w:rPr>
          <w:lang w:val="en-GB"/>
        </w:rPr>
        <w:tab/>
      </w:r>
      <w:r>
        <w:rPr>
          <w:lang w:val="en-GB"/>
        </w:rPr>
        <w:t>34,5 (8)</w:t>
      </w:r>
      <w:r>
        <w:rPr>
          <w:lang w:val="en-GB"/>
        </w:rPr>
        <w:tab/>
        <w:t>9,12</w:t>
      </w:r>
      <w:r w:rsidRPr="00B71470">
        <w:rPr>
          <w:lang w:val="en-GB"/>
        </w:rPr>
        <w:tab/>
        <w:t>82%</w:t>
      </w:r>
    </w:p>
    <w:p w14:paraId="7ED50ABE" w14:textId="77777777" w:rsidR="009C4616" w:rsidRPr="00B71470" w:rsidRDefault="009C4616" w:rsidP="009C4616">
      <w:pPr>
        <w:tabs>
          <w:tab w:val="decimal" w:pos="1276"/>
          <w:tab w:val="decimal" w:pos="2835"/>
          <w:tab w:val="decimal" w:pos="4395"/>
          <w:tab w:val="decimal" w:pos="5387"/>
          <w:tab w:val="decimal" w:pos="6804"/>
        </w:tabs>
        <w:jc w:val="both"/>
        <w:rPr>
          <w:lang w:val="en-GB"/>
        </w:rPr>
      </w:pPr>
      <w:r w:rsidRPr="00B71470">
        <w:rPr>
          <w:lang w:val="en-GB"/>
        </w:rPr>
        <w:t>Sep</w:t>
      </w:r>
      <w:r w:rsidRPr="00B71470">
        <w:rPr>
          <w:lang w:val="en-GB"/>
        </w:rPr>
        <w:tab/>
      </w:r>
      <w:r>
        <w:rPr>
          <w:lang w:val="en-GB"/>
        </w:rPr>
        <w:t>81,4</w:t>
      </w:r>
      <w:r>
        <w:rPr>
          <w:lang w:val="en-GB"/>
        </w:rPr>
        <w:tab/>
        <w:t>15,7</w:t>
      </w:r>
      <w:r>
        <w:rPr>
          <w:lang w:val="en-GB"/>
        </w:rPr>
        <w:tab/>
        <w:t>28,4</w:t>
      </w:r>
      <w:r>
        <w:rPr>
          <w:lang w:val="en-GB"/>
        </w:rPr>
        <w:tab/>
        <w:t>4,18</w:t>
      </w:r>
      <w:r>
        <w:rPr>
          <w:lang w:val="en-GB"/>
        </w:rPr>
        <w:tab/>
        <w:t>85%</w:t>
      </w:r>
    </w:p>
    <w:p w14:paraId="4E0A0BA4" w14:textId="77777777" w:rsidR="009C4616" w:rsidRDefault="009C4616" w:rsidP="009C4616">
      <w:pPr>
        <w:tabs>
          <w:tab w:val="decimal" w:pos="1276"/>
          <w:tab w:val="decimal" w:pos="2835"/>
          <w:tab w:val="decimal" w:pos="4395"/>
          <w:tab w:val="decimal" w:pos="5387"/>
          <w:tab w:val="decimal" w:pos="6804"/>
        </w:tabs>
        <w:jc w:val="both"/>
        <w:rPr>
          <w:lang w:val="de-AT"/>
        </w:rPr>
      </w:pPr>
      <w:r w:rsidRPr="00AF18C9">
        <w:rPr>
          <w:lang w:val="de-AT"/>
        </w:rPr>
        <w:t>Okt</w:t>
      </w:r>
      <w:r w:rsidRPr="00AF18C9">
        <w:rPr>
          <w:lang w:val="de-AT"/>
        </w:rPr>
        <w:tab/>
      </w:r>
      <w:r>
        <w:rPr>
          <w:lang w:val="de-AT"/>
        </w:rPr>
        <w:t>58,6</w:t>
      </w:r>
      <w:r>
        <w:rPr>
          <w:lang w:val="de-AT"/>
        </w:rPr>
        <w:tab/>
        <w:t>9,9</w:t>
      </w:r>
      <w:r>
        <w:rPr>
          <w:lang w:val="de-AT"/>
        </w:rPr>
        <w:tab/>
        <w:t>25,84</w:t>
      </w:r>
      <w:r>
        <w:rPr>
          <w:lang w:val="de-AT"/>
        </w:rPr>
        <w:tab/>
        <w:t>-0,4</w:t>
      </w:r>
      <w:r>
        <w:rPr>
          <w:lang w:val="de-AT"/>
        </w:rPr>
        <w:tab/>
        <w:t>92,6%</w:t>
      </w:r>
    </w:p>
    <w:p w14:paraId="726D6CB7" w14:textId="77777777" w:rsidR="009C4616" w:rsidRPr="00AF18C9" w:rsidRDefault="009C4616" w:rsidP="009C4616">
      <w:pPr>
        <w:tabs>
          <w:tab w:val="decimal" w:pos="1276"/>
          <w:tab w:val="decimal" w:pos="2835"/>
          <w:tab w:val="decimal" w:pos="4395"/>
          <w:tab w:val="decimal" w:pos="5387"/>
          <w:tab w:val="decimal" w:pos="6804"/>
        </w:tabs>
        <w:jc w:val="both"/>
        <w:rPr>
          <w:lang w:val="de-AT"/>
        </w:rPr>
      </w:pPr>
      <w:r>
        <w:rPr>
          <w:lang w:val="de-AT"/>
        </w:rPr>
        <w:t>Nov</w:t>
      </w:r>
      <w:r>
        <w:rPr>
          <w:lang w:val="de-AT"/>
        </w:rPr>
        <w:tab/>
        <w:t>17,4</w:t>
      </w:r>
      <w:r>
        <w:rPr>
          <w:lang w:val="de-AT"/>
        </w:rPr>
        <w:tab/>
        <w:t>4,8</w:t>
      </w:r>
      <w:r>
        <w:rPr>
          <w:lang w:val="de-AT"/>
        </w:rPr>
        <w:tab/>
        <w:t>20,31</w:t>
      </w:r>
      <w:r>
        <w:rPr>
          <w:lang w:val="de-AT"/>
        </w:rPr>
        <w:tab/>
        <w:t>-6,12</w:t>
      </w:r>
      <w:r>
        <w:rPr>
          <w:lang w:val="de-AT"/>
        </w:rPr>
        <w:tab/>
        <w:t>96,7%</w:t>
      </w:r>
    </w:p>
    <w:p w14:paraId="6AF09606" w14:textId="7E3D717E" w:rsidR="009C4616" w:rsidRDefault="009C4616" w:rsidP="009C4616">
      <w:pPr>
        <w:jc w:val="both"/>
        <w:rPr>
          <w:lang w:val="de-AT"/>
        </w:rPr>
      </w:pPr>
    </w:p>
    <w:p w14:paraId="1637E769" w14:textId="77777777" w:rsidR="009C4616" w:rsidRPr="00AF18C9" w:rsidRDefault="009C4616" w:rsidP="009C4616">
      <w:pPr>
        <w:jc w:val="both"/>
        <w:rPr>
          <w:lang w:val="de-AT"/>
        </w:rPr>
      </w:pPr>
    </w:p>
    <w:bookmarkEnd w:id="1"/>
    <w:p w14:paraId="71011FDE" w14:textId="2AB8539A" w:rsidR="00DC529A" w:rsidRDefault="009C4616" w:rsidP="009C4616">
      <w:r>
        <w:rPr>
          <w:noProof/>
        </w:rPr>
        <w:drawing>
          <wp:inline distT="0" distB="0" distL="0" distR="0" wp14:anchorId="7C6BF250" wp14:editId="23522EE6">
            <wp:extent cx="4852491" cy="3315401"/>
            <wp:effectExtent l="0" t="0" r="5715" b="18415"/>
            <wp:docPr id="6" name="Diagramm 6">
              <a:extLst xmlns:a="http://schemas.openxmlformats.org/drawingml/2006/main">
                <a:ext uri="{FF2B5EF4-FFF2-40B4-BE49-F238E27FC236}">
                  <a16:creationId xmlns:a16="http://schemas.microsoft.com/office/drawing/2014/main" id="{F0DADF1D-C7EF-4FB9-9379-92A230B19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bookmarkEnd w:id="0"/>
    </w:p>
    <w:sectPr w:rsidR="00DC529A">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CB739" w14:textId="77777777" w:rsidR="009C4616" w:rsidRDefault="009C4616" w:rsidP="009C4616">
      <w:pPr>
        <w:spacing w:line="240" w:lineRule="auto"/>
      </w:pPr>
      <w:r>
        <w:separator/>
      </w:r>
    </w:p>
  </w:endnote>
  <w:endnote w:type="continuationSeparator" w:id="0">
    <w:p w14:paraId="0F677EAF" w14:textId="77777777" w:rsidR="009C4616" w:rsidRDefault="009C4616" w:rsidP="009C46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undryMonoline-Regular">
    <w:altName w:val="Malgun Gothic"/>
    <w:panose1 w:val="02000503000000020004"/>
    <w:charset w:val="00"/>
    <w:family w:val="auto"/>
    <w:pitch w:val="variable"/>
    <w:sig w:usb0="80000027"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0EDCF6" w14:textId="77777777" w:rsidR="009C4616" w:rsidRDefault="009C4616" w:rsidP="009C4616">
      <w:pPr>
        <w:spacing w:line="240" w:lineRule="auto"/>
      </w:pPr>
      <w:r>
        <w:separator/>
      </w:r>
    </w:p>
  </w:footnote>
  <w:footnote w:type="continuationSeparator" w:id="0">
    <w:p w14:paraId="2EEC3CD1" w14:textId="77777777" w:rsidR="009C4616" w:rsidRDefault="009C4616" w:rsidP="009C46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25441" w14:textId="09884E5A" w:rsidR="009C4616" w:rsidRDefault="009C4616" w:rsidP="009C4616">
    <w:pPr>
      <w:pStyle w:val="Kopfzeile"/>
      <w:jc w:val="center"/>
    </w:pPr>
    <w:r>
      <w:rPr>
        <w:noProof/>
        <w:lang w:eastAsia="de-AT"/>
      </w:rPr>
      <w:drawing>
        <wp:inline distT="0" distB="0" distL="0" distR="0" wp14:anchorId="4D328A37" wp14:editId="26ED50AD">
          <wp:extent cx="1381125" cy="733425"/>
          <wp:effectExtent l="0" t="0" r="0" b="0"/>
          <wp:docPr id="1" name="Bild 1" descr="SG Logo O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 Logo Okt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616"/>
    <w:rsid w:val="009C4616"/>
    <w:rsid w:val="00DC529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55735"/>
  <w15:chartTrackingRefBased/>
  <w15:docId w15:val="{CB18A9C5-00C8-4227-8735-E65DF8379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616"/>
    <w:pPr>
      <w:spacing w:after="0" w:line="300" w:lineRule="auto"/>
      <w:outlineLvl w:val="0"/>
    </w:pPr>
    <w:rPr>
      <w:rFonts w:ascii="FoundryMonoline-Regular" w:eastAsia="Times New Roman" w:hAnsi="FoundryMonoline-Regular" w:cs="Times New Roman"/>
      <w:sz w:val="20"/>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4616"/>
    <w:pPr>
      <w:tabs>
        <w:tab w:val="center" w:pos="4536"/>
        <w:tab w:val="right" w:pos="9072"/>
      </w:tabs>
      <w:spacing w:line="240" w:lineRule="auto"/>
      <w:outlineLvl w:val="9"/>
    </w:pPr>
    <w:rPr>
      <w:rFonts w:asciiTheme="minorHAnsi" w:eastAsiaTheme="minorHAnsi" w:hAnsiTheme="minorHAnsi" w:cstheme="minorBidi"/>
      <w:sz w:val="22"/>
      <w:szCs w:val="22"/>
      <w:lang w:val="de-AT" w:eastAsia="en-US"/>
    </w:rPr>
  </w:style>
  <w:style w:type="character" w:customStyle="1" w:styleId="KopfzeileZchn">
    <w:name w:val="Kopfzeile Zchn"/>
    <w:basedOn w:val="Absatz-Standardschriftart"/>
    <w:link w:val="Kopfzeile"/>
    <w:uiPriority w:val="99"/>
    <w:rsid w:val="009C4616"/>
  </w:style>
  <w:style w:type="paragraph" w:styleId="Fuzeile">
    <w:name w:val="footer"/>
    <w:basedOn w:val="Standard"/>
    <w:link w:val="FuzeileZchn"/>
    <w:uiPriority w:val="99"/>
    <w:unhideWhenUsed/>
    <w:rsid w:val="009C4616"/>
    <w:pPr>
      <w:tabs>
        <w:tab w:val="center" w:pos="4536"/>
        <w:tab w:val="right" w:pos="9072"/>
      </w:tabs>
      <w:spacing w:line="240" w:lineRule="auto"/>
      <w:outlineLvl w:val="9"/>
    </w:pPr>
    <w:rPr>
      <w:rFonts w:asciiTheme="minorHAnsi" w:eastAsiaTheme="minorHAnsi" w:hAnsiTheme="minorHAnsi" w:cstheme="minorBidi"/>
      <w:sz w:val="22"/>
      <w:szCs w:val="22"/>
      <w:lang w:val="de-AT" w:eastAsia="en-US"/>
    </w:rPr>
  </w:style>
  <w:style w:type="character" w:customStyle="1" w:styleId="FuzeileZchn">
    <w:name w:val="Fußzeile Zchn"/>
    <w:basedOn w:val="Absatz-Standardschriftart"/>
    <w:link w:val="Fuzeile"/>
    <w:uiPriority w:val="99"/>
    <w:rsid w:val="009C4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m\Downloads\0000131F_station_data%20(10).xls"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sz="1800" b="1" baseline="0">
                <a:solidFill>
                  <a:schemeClr val="tx1">
                    <a:lumMod val="50000"/>
                    <a:lumOff val="50000"/>
                  </a:schemeClr>
                </a:solidFill>
              </a:rPr>
              <a:t>VINTAGE 2020</a:t>
            </a:r>
            <a:endParaRPr lang="de-AT" sz="1200" b="1" baseline="0">
              <a:solidFill>
                <a:schemeClr val="tx1">
                  <a:lumMod val="50000"/>
                  <a:lumOff val="50000"/>
                </a:schemeClr>
              </a:solidFill>
            </a:endParaRPr>
          </a:p>
        </c:rich>
      </c:tx>
      <c:layout>
        <c:manualLayout>
          <c:xMode val="edge"/>
          <c:yMode val="edge"/>
          <c:x val="0.35559640135344533"/>
          <c:y val="0.1254192053838653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6.4079151250671984E-2"/>
          <c:y val="0.14771743326384398"/>
          <c:w val="0.88830756095247132"/>
          <c:h val="0.72683139911734351"/>
        </c:manualLayout>
      </c:layout>
      <c:barChart>
        <c:barDir val="col"/>
        <c:grouping val="clustered"/>
        <c:varyColors val="0"/>
        <c:ser>
          <c:idx val="0"/>
          <c:order val="0"/>
          <c:tx>
            <c:strRef>
              <c:f>'ag-grid'!$B$707</c:f>
              <c:strCache>
                <c:ptCount val="1"/>
                <c:pt idx="0">
                  <c:v>            Precipitation (mm)   </c:v>
                </c:pt>
              </c:strCache>
            </c:strRef>
          </c:tx>
          <c:spPr>
            <a:solidFill>
              <a:schemeClr val="accent1">
                <a:lumMod val="60000"/>
                <a:lumOff val="40000"/>
              </a:schemeClr>
            </a:solidFill>
            <a:ln>
              <a:solidFill>
                <a:schemeClr val="accent1">
                  <a:lumMod val="60000"/>
                  <a:lumOff val="40000"/>
                </a:schemeClr>
              </a:solidFill>
            </a:ln>
            <a:effectLst/>
          </c:spPr>
          <c:invertIfNegative val="0"/>
          <c:cat>
            <c:strRef>
              <c:f>'ag-grid'!$A$708:$A$718</c:f>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f>'ag-grid'!$B$708:$B$718</c:f>
              <c:numCache>
                <c:formatCode>General</c:formatCode>
                <c:ptCount val="11"/>
                <c:pt idx="0">
                  <c:v>17</c:v>
                </c:pt>
                <c:pt idx="1">
                  <c:v>29</c:v>
                </c:pt>
                <c:pt idx="2">
                  <c:v>18</c:v>
                </c:pt>
                <c:pt idx="3">
                  <c:v>7</c:v>
                </c:pt>
                <c:pt idx="4">
                  <c:v>53.8</c:v>
                </c:pt>
                <c:pt idx="5">
                  <c:v>121</c:v>
                </c:pt>
                <c:pt idx="6">
                  <c:v>213</c:v>
                </c:pt>
                <c:pt idx="7">
                  <c:v>93.6</c:v>
                </c:pt>
                <c:pt idx="8">
                  <c:v>81.400000000000006</c:v>
                </c:pt>
                <c:pt idx="9">
                  <c:v>58.6</c:v>
                </c:pt>
                <c:pt idx="10">
                  <c:v>17.399999999999999</c:v>
                </c:pt>
              </c:numCache>
            </c:numRef>
          </c:val>
          <c:extLst>
            <c:ext xmlns:c16="http://schemas.microsoft.com/office/drawing/2014/chart" uri="{C3380CC4-5D6E-409C-BE32-E72D297353CC}">
              <c16:uniqueId val="{00000000-5C52-4C3B-9711-84CBA1EF20D9}"/>
            </c:ext>
          </c:extLst>
        </c:ser>
        <c:dLbls>
          <c:showLegendKey val="0"/>
          <c:showVal val="0"/>
          <c:showCatName val="0"/>
          <c:showSerName val="0"/>
          <c:showPercent val="0"/>
          <c:showBubbleSize val="0"/>
        </c:dLbls>
        <c:gapWidth val="150"/>
        <c:axId val="647576840"/>
        <c:axId val="647570280"/>
        <c:extLst>
          <c:ext xmlns:c15="http://schemas.microsoft.com/office/drawing/2012/chart" uri="{02D57815-91ED-43cb-92C2-25804820EDAC}">
            <c15:filteredBarSeries>
              <c15:ser>
                <c:idx val="2"/>
                <c:order val="2"/>
                <c:tx>
                  <c:strRef>
                    <c:extLst>
                      <c:ext uri="{02D57815-91ED-43cb-92C2-25804820EDAC}">
                        <c15:formulaRef>
                          <c15:sqref>'ag-grid'!$D$707</c15:sqref>
                        </c15:formulaRef>
                      </c:ext>
                    </c:extLst>
                    <c:strCache>
                      <c:ptCount val="1"/>
                      <c:pt idx="0">
                        <c:v>    Max Temp </c:v>
                      </c:pt>
                    </c:strCache>
                  </c:strRef>
                </c:tx>
                <c:spPr>
                  <a:solidFill>
                    <a:schemeClr val="accent3"/>
                  </a:solidFill>
                  <a:ln>
                    <a:noFill/>
                  </a:ln>
                  <a:effectLst/>
                </c:spPr>
                <c:invertIfNegative val="0"/>
                <c:cat>
                  <c:strRef>
                    <c:extLst>
                      <c:ext uri="{02D57815-91ED-43cb-92C2-25804820EDAC}">
                        <c15:formulaRef>
                          <c15:sqref>'ag-grid'!$A$708:$A$718</c15:sqref>
                        </c15:formulaRef>
                      </c:ext>
                    </c:extLst>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extLst>
                      <c:ext uri="{02D57815-91ED-43cb-92C2-25804820EDAC}">
                        <c15:formulaRef>
                          <c15:sqref>'ag-grid'!$D$708:$D$718</c15:sqref>
                        </c15:formulaRef>
                      </c:ext>
                    </c:extLst>
                    <c:numCache>
                      <c:formatCode>General</c:formatCode>
                      <c:ptCount val="11"/>
                      <c:pt idx="0">
                        <c:v>13.44</c:v>
                      </c:pt>
                      <c:pt idx="1">
                        <c:v>17.07</c:v>
                      </c:pt>
                      <c:pt idx="2">
                        <c:v>21.65</c:v>
                      </c:pt>
                      <c:pt idx="3">
                        <c:v>26.05</c:v>
                      </c:pt>
                      <c:pt idx="4">
                        <c:v>27.89</c:v>
                      </c:pt>
                      <c:pt idx="5">
                        <c:v>0</c:v>
                      </c:pt>
                      <c:pt idx="6">
                        <c:v>0</c:v>
                      </c:pt>
                      <c:pt idx="7">
                        <c:v>0</c:v>
                      </c:pt>
                      <c:pt idx="8">
                        <c:v>28.4</c:v>
                      </c:pt>
                      <c:pt idx="9">
                        <c:v>25.84</c:v>
                      </c:pt>
                      <c:pt idx="10">
                        <c:v>20.309999999999999</c:v>
                      </c:pt>
                    </c:numCache>
                  </c:numRef>
                </c:val>
                <c:extLst>
                  <c:ext xmlns:c16="http://schemas.microsoft.com/office/drawing/2014/chart" uri="{C3380CC4-5D6E-409C-BE32-E72D297353CC}">
                    <c16:uniqueId val="{00000002-5C52-4C3B-9711-84CBA1EF20D9}"/>
                  </c:ext>
                </c:extLst>
              </c15:ser>
            </c15:filteredBarSeries>
          </c:ext>
        </c:extLst>
      </c:barChart>
      <c:lineChart>
        <c:grouping val="standard"/>
        <c:varyColors val="0"/>
        <c:dLbls>
          <c:showLegendKey val="0"/>
          <c:showVal val="0"/>
          <c:showCatName val="0"/>
          <c:showSerName val="0"/>
          <c:showPercent val="0"/>
          <c:showBubbleSize val="0"/>
        </c:dLbls>
        <c:marker val="1"/>
        <c:smooth val="0"/>
        <c:axId val="647576840"/>
        <c:axId val="647570280"/>
        <c:extLst>
          <c:ext xmlns:c15="http://schemas.microsoft.com/office/drawing/2012/chart" uri="{02D57815-91ED-43cb-92C2-25804820EDAC}">
            <c15:filteredLineSeries>
              <c15:ser>
                <c:idx val="4"/>
                <c:order val="4"/>
                <c:tx>
                  <c:strRef>
                    <c:extLst>
                      <c:ext uri="{02D57815-91ED-43cb-92C2-25804820EDAC}">
                        <c15:formulaRef>
                          <c15:sqref>'ag-grid'!$F$707</c15:sqref>
                        </c15:formulaRef>
                      </c:ext>
                    </c:extLst>
                    <c:strCache>
                      <c:ptCount val="1"/>
                      <c:pt idx="0">
                        <c:v>Humidity</c:v>
                      </c:pt>
                    </c:strCache>
                  </c:strRef>
                </c:tx>
                <c:spPr>
                  <a:ln w="28575" cap="rnd">
                    <a:solidFill>
                      <a:schemeClr val="accent5"/>
                    </a:solidFill>
                    <a:round/>
                  </a:ln>
                  <a:effectLst/>
                </c:spPr>
                <c:marker>
                  <c:symbol val="none"/>
                </c:marker>
                <c:cat>
                  <c:strRef>
                    <c:extLst>
                      <c:ext uri="{02D57815-91ED-43cb-92C2-25804820EDAC}">
                        <c15:formulaRef>
                          <c15:sqref>'ag-grid'!$A$708:$A$718</c15:sqref>
                        </c15:formulaRef>
                      </c:ext>
                    </c:extLst>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extLst>
                      <c:ext uri="{02D57815-91ED-43cb-92C2-25804820EDAC}">
                        <c15:formulaRef>
                          <c15:sqref>'ag-grid'!$F$708:$F$718</c15:sqref>
                        </c15:formulaRef>
                      </c:ext>
                    </c:extLst>
                    <c:numCache>
                      <c:formatCode>0.00%</c:formatCode>
                      <c:ptCount val="11"/>
                      <c:pt idx="0">
                        <c:v>0.94299999999999995</c:v>
                      </c:pt>
                      <c:pt idx="1">
                        <c:v>0.77500000000000002</c:v>
                      </c:pt>
                      <c:pt idx="2">
                        <c:v>0.65600000000000003</c:v>
                      </c:pt>
                      <c:pt idx="3">
                        <c:v>0.499</c:v>
                      </c:pt>
                      <c:pt idx="4">
                        <c:v>0.67200000000000004</c:v>
                      </c:pt>
                      <c:pt idx="5">
                        <c:v>0.81399999999999995</c:v>
                      </c:pt>
                      <c:pt idx="6">
                        <c:v>0.79200000000000004</c:v>
                      </c:pt>
                      <c:pt idx="7" formatCode="0%">
                        <c:v>0.82</c:v>
                      </c:pt>
                      <c:pt idx="8" formatCode="0%">
                        <c:v>0.85</c:v>
                      </c:pt>
                      <c:pt idx="9">
                        <c:v>0.92600000000000005</c:v>
                      </c:pt>
                      <c:pt idx="10">
                        <c:v>0.96699999999999997</c:v>
                      </c:pt>
                    </c:numCache>
                  </c:numRef>
                </c:val>
                <c:smooth val="0"/>
                <c:extLst>
                  <c:ext xmlns:c16="http://schemas.microsoft.com/office/drawing/2014/chart" uri="{C3380CC4-5D6E-409C-BE32-E72D297353CC}">
                    <c16:uniqueId val="{00000004-5C52-4C3B-9711-84CBA1EF20D9}"/>
                  </c:ext>
                </c:extLst>
              </c15:ser>
            </c15:filteredLineSeries>
          </c:ext>
        </c:extLst>
      </c:lineChart>
      <c:lineChart>
        <c:grouping val="standard"/>
        <c:varyColors val="0"/>
        <c:ser>
          <c:idx val="1"/>
          <c:order val="1"/>
          <c:tx>
            <c:strRef>
              <c:f>'ag-grid'!$C$707</c:f>
              <c:strCache>
                <c:ptCount val="1"/>
                <c:pt idx="0">
                  <c:v>  Temp Avg  </c:v>
                </c:pt>
              </c:strCache>
            </c:strRef>
          </c:tx>
          <c:spPr>
            <a:ln w="28575" cap="rnd">
              <a:solidFill>
                <a:schemeClr val="accent6">
                  <a:lumMod val="75000"/>
                </a:schemeClr>
              </a:solidFill>
              <a:round/>
            </a:ln>
            <a:effectLst/>
          </c:spPr>
          <c:marker>
            <c:symbol val="none"/>
          </c:marker>
          <c:cat>
            <c:strRef>
              <c:f>'ag-grid'!$A$708:$A$718</c:f>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f>'ag-grid'!$C$708:$C$718</c:f>
              <c:numCache>
                <c:formatCode>General</c:formatCode>
                <c:ptCount val="11"/>
                <c:pt idx="0">
                  <c:v>0.2</c:v>
                </c:pt>
                <c:pt idx="1">
                  <c:v>5.2</c:v>
                </c:pt>
                <c:pt idx="2">
                  <c:v>6.4</c:v>
                </c:pt>
                <c:pt idx="3">
                  <c:v>11.6</c:v>
                </c:pt>
                <c:pt idx="4">
                  <c:v>13.7</c:v>
                </c:pt>
                <c:pt idx="5">
                  <c:v>18</c:v>
                </c:pt>
                <c:pt idx="6">
                  <c:v>19.5</c:v>
                </c:pt>
                <c:pt idx="7">
                  <c:v>20.5</c:v>
                </c:pt>
                <c:pt idx="8">
                  <c:v>15.7</c:v>
                </c:pt>
                <c:pt idx="9">
                  <c:v>9.9</c:v>
                </c:pt>
                <c:pt idx="10">
                  <c:v>4.8</c:v>
                </c:pt>
              </c:numCache>
            </c:numRef>
          </c:val>
          <c:smooth val="0"/>
          <c:extLst>
            <c:ext xmlns:c16="http://schemas.microsoft.com/office/drawing/2014/chart" uri="{C3380CC4-5D6E-409C-BE32-E72D297353CC}">
              <c16:uniqueId val="{00000001-5C52-4C3B-9711-84CBA1EF20D9}"/>
            </c:ext>
          </c:extLst>
        </c:ser>
        <c:dLbls>
          <c:showLegendKey val="0"/>
          <c:showVal val="0"/>
          <c:showCatName val="0"/>
          <c:showSerName val="0"/>
          <c:showPercent val="0"/>
          <c:showBubbleSize val="0"/>
        </c:dLbls>
        <c:marker val="1"/>
        <c:smooth val="0"/>
        <c:axId val="647574544"/>
        <c:axId val="647571264"/>
        <c:extLst>
          <c:ext xmlns:c15="http://schemas.microsoft.com/office/drawing/2012/chart" uri="{02D57815-91ED-43cb-92C2-25804820EDAC}">
            <c15:filteredLineSeries>
              <c15:ser>
                <c:idx val="3"/>
                <c:order val="3"/>
                <c:tx>
                  <c:strRef>
                    <c:extLst>
                      <c:ext uri="{02D57815-91ED-43cb-92C2-25804820EDAC}">
                        <c15:formulaRef>
                          <c15:sqref>'ag-grid'!$E$707</c15:sqref>
                        </c15:formulaRef>
                      </c:ext>
                    </c:extLst>
                    <c:strCache>
                      <c:ptCount val="1"/>
                      <c:pt idx="0">
                        <c:v>   Min Temp</c:v>
                      </c:pt>
                    </c:strCache>
                  </c:strRef>
                </c:tx>
                <c:spPr>
                  <a:ln w="28575" cap="rnd">
                    <a:solidFill>
                      <a:schemeClr val="accent4"/>
                    </a:solidFill>
                    <a:round/>
                  </a:ln>
                  <a:effectLst/>
                </c:spPr>
                <c:marker>
                  <c:symbol val="none"/>
                </c:marker>
                <c:cat>
                  <c:strRef>
                    <c:extLst>
                      <c:ext uri="{02D57815-91ED-43cb-92C2-25804820EDAC}">
                        <c15:formulaRef>
                          <c15:sqref>'ag-grid'!$A$708:$A$718</c15:sqref>
                        </c15:formulaRef>
                      </c:ext>
                    </c:extLst>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extLst>
                      <c:ext uri="{02D57815-91ED-43cb-92C2-25804820EDAC}">
                        <c15:formulaRef>
                          <c15:sqref>'ag-grid'!$E$708:$E$718</c15:sqref>
                        </c15:formulaRef>
                      </c:ext>
                    </c:extLst>
                    <c:numCache>
                      <c:formatCode>General</c:formatCode>
                      <c:ptCount val="11"/>
                      <c:pt idx="0">
                        <c:v>-7.24</c:v>
                      </c:pt>
                      <c:pt idx="1">
                        <c:v>-5.31</c:v>
                      </c:pt>
                      <c:pt idx="2">
                        <c:v>-6.11</c:v>
                      </c:pt>
                      <c:pt idx="3">
                        <c:v>-6.9</c:v>
                      </c:pt>
                      <c:pt idx="4">
                        <c:v>2.37</c:v>
                      </c:pt>
                      <c:pt idx="5">
                        <c:v>8.16</c:v>
                      </c:pt>
                      <c:pt idx="6">
                        <c:v>6.49</c:v>
                      </c:pt>
                      <c:pt idx="7">
                        <c:v>9.1199999999999992</c:v>
                      </c:pt>
                      <c:pt idx="8">
                        <c:v>4.18</c:v>
                      </c:pt>
                      <c:pt idx="9">
                        <c:v>-0.4</c:v>
                      </c:pt>
                      <c:pt idx="10">
                        <c:v>-6.12</c:v>
                      </c:pt>
                    </c:numCache>
                  </c:numRef>
                </c:val>
                <c:smooth val="0"/>
                <c:extLst>
                  <c:ext xmlns:c16="http://schemas.microsoft.com/office/drawing/2014/chart" uri="{C3380CC4-5D6E-409C-BE32-E72D297353CC}">
                    <c16:uniqueId val="{00000003-5C52-4C3B-9711-84CBA1EF20D9}"/>
                  </c:ext>
                </c:extLst>
              </c15:ser>
            </c15:filteredLineSeries>
          </c:ext>
        </c:extLst>
      </c:lineChart>
      <c:catAx>
        <c:axId val="64757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47570280"/>
        <c:crosses val="autoZero"/>
        <c:auto val="1"/>
        <c:lblAlgn val="ctr"/>
        <c:lblOffset val="100"/>
        <c:noMultiLvlLbl val="0"/>
      </c:catAx>
      <c:valAx>
        <c:axId val="647570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47576840"/>
        <c:crosses val="autoZero"/>
        <c:crossBetween val="between"/>
      </c:valAx>
      <c:valAx>
        <c:axId val="64757126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47574544"/>
        <c:crosses val="max"/>
        <c:crossBetween val="between"/>
      </c:valAx>
      <c:catAx>
        <c:axId val="647574544"/>
        <c:scaling>
          <c:orientation val="minMax"/>
        </c:scaling>
        <c:delete val="1"/>
        <c:axPos val="b"/>
        <c:numFmt formatCode="General" sourceLinked="1"/>
        <c:majorTickMark val="none"/>
        <c:minorTickMark val="none"/>
        <c:tickLblPos val="nextTo"/>
        <c:crossAx val="647571264"/>
        <c:crosses val="autoZero"/>
        <c:auto val="1"/>
        <c:lblAlgn val="ctr"/>
        <c:lblOffset val="100"/>
        <c:noMultiLvlLbl val="0"/>
      </c:catAx>
      <c:spPr>
        <a:noFill/>
        <a:ln>
          <a:noFill/>
        </a:ln>
        <a:effectLst/>
      </c:spPr>
    </c:plotArea>
    <c:legend>
      <c:legendPos val="b"/>
      <c:layout>
        <c:manualLayout>
          <c:xMode val="edge"/>
          <c:yMode val="edge"/>
          <c:x val="0.22191087183379185"/>
          <c:y val="0.93960229738641299"/>
          <c:w val="0.57123849729627174"/>
          <c:h val="6.03977026135870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jpg"/></Relationships>
</file>

<file path=word/drawings/drawing1.xml><?xml version="1.0" encoding="utf-8"?>
<c:userShapes xmlns:c="http://schemas.openxmlformats.org/drawingml/2006/chart">
  <cdr:relSizeAnchor xmlns:cdr="http://schemas.openxmlformats.org/drawingml/2006/chartDrawing">
    <cdr:from>
      <cdr:x>0.42214</cdr:x>
      <cdr:y>0.01104</cdr:y>
    </cdr:from>
    <cdr:to>
      <cdr:x>0.57731</cdr:x>
      <cdr:y>0.11745</cdr:y>
    </cdr:to>
    <cdr:pic>
      <cdr:nvPicPr>
        <cdr:cNvPr id="3" name="Grafik 2">
          <a:extLst xmlns:a="http://schemas.openxmlformats.org/drawingml/2006/main">
            <a:ext uri="{FF2B5EF4-FFF2-40B4-BE49-F238E27FC236}">
              <a16:creationId xmlns:a16="http://schemas.microsoft.com/office/drawing/2014/main" id="{D76CB856-274D-40DF-B1E1-4E0091E82925}"/>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135888" y="39181"/>
          <a:ext cx="785096" cy="377573"/>
        </a:xfrm>
        <a:prstGeom xmlns:a="http://schemas.openxmlformats.org/drawingml/2006/main" prst="rect">
          <a:avLst/>
        </a:prstGeom>
      </cdr:spPr>
    </cdr:pic>
  </cdr:relSizeAnchor>
  <cdr:relSizeAnchor xmlns:cdr="http://schemas.openxmlformats.org/drawingml/2006/chartDrawing">
    <cdr:from>
      <cdr:x>0.55451</cdr:x>
      <cdr:y>0.04022</cdr:y>
    </cdr:from>
    <cdr:to>
      <cdr:x>0.98502</cdr:x>
      <cdr:y>0.24415</cdr:y>
    </cdr:to>
    <cdr:sp macro="" textlink="">
      <cdr:nvSpPr>
        <cdr:cNvPr id="4" name="Textfeld 3">
          <a:extLst xmlns:a="http://schemas.openxmlformats.org/drawingml/2006/main">
            <a:ext uri="{FF2B5EF4-FFF2-40B4-BE49-F238E27FC236}">
              <a16:creationId xmlns:a16="http://schemas.microsoft.com/office/drawing/2014/main" id="{060275F9-D587-439B-967F-BA0ABC030E91}"/>
            </a:ext>
          </a:extLst>
        </cdr:cNvPr>
        <cdr:cNvSpPr txBox="1"/>
      </cdr:nvSpPr>
      <cdr:spPr>
        <a:xfrm xmlns:a="http://schemas.openxmlformats.org/drawingml/2006/main">
          <a:off x="2690489" y="133327"/>
          <a:ext cx="2088859" cy="6760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AT" sz="1200">
              <a:solidFill>
                <a:schemeClr val="tx1">
                  <a:lumMod val="50000"/>
                  <a:lumOff val="50000"/>
                </a:schemeClr>
              </a:solidFill>
            </a:rPr>
            <a:t>45 hl/ha</a:t>
          </a:r>
        </a:p>
        <a:p xmlns:a="http://schemas.openxmlformats.org/drawingml/2006/main">
          <a:pPr algn="r"/>
          <a:endParaRPr lang="de-AT" sz="1100">
            <a:solidFill>
              <a:schemeClr val="tx1">
                <a:lumMod val="50000"/>
                <a:lumOff val="50000"/>
              </a:schemeClr>
            </a:solidFill>
          </a:endParaRPr>
        </a:p>
        <a:p xmlns:a="http://schemas.openxmlformats.org/drawingml/2006/main">
          <a:pPr algn="r"/>
          <a:r>
            <a:rPr lang="de-AT" sz="900">
              <a:solidFill>
                <a:schemeClr val="tx1">
                  <a:lumMod val="50000"/>
                  <a:lumOff val="50000"/>
                </a:schemeClr>
              </a:solidFill>
            </a:rPr>
            <a:t>Total Precipitation: 710</a:t>
          </a:r>
          <a:r>
            <a:rPr lang="de-AT" sz="900" baseline="0">
              <a:solidFill>
                <a:schemeClr val="tx1">
                  <a:lumMod val="50000"/>
                  <a:lumOff val="50000"/>
                </a:schemeClr>
              </a:solidFill>
            </a:rPr>
            <a:t> lt/m² </a:t>
          </a:r>
          <a:endParaRPr lang="de-AT" sz="900">
            <a:solidFill>
              <a:schemeClr val="tx1">
                <a:lumMod val="50000"/>
                <a:lumOff val="50000"/>
              </a:schemeClr>
            </a:solidFill>
          </a:endParaRPr>
        </a:p>
      </cdr:txBody>
    </cdr:sp>
  </cdr:relSizeAnchor>
</c:userShape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1585</Characters>
  <Application>Microsoft Office Word</Application>
  <DocSecurity>0</DocSecurity>
  <Lines>13</Lines>
  <Paragraphs>3</Paragraphs>
  <ScaleCrop>false</ScaleCrop>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Ilkerl Lisa</dc:creator>
  <cp:keywords/>
  <dc:description/>
  <cp:lastModifiedBy>Ilkerl Lisa</cp:lastModifiedBy>
  <cp:revision>1</cp:revision>
  <dcterms:created xsi:type="dcterms:W3CDTF">2021-02-04T09:02:00Z</dcterms:created>
  <dcterms:modified xsi:type="dcterms:W3CDTF">2021-02-04T09:04:00Z</dcterms:modified>
</cp:coreProperties>
</file>