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050E" w:rsidRDefault="00F4050E" w:rsidP="00F4050E">
      <w:pPr>
        <w:jc w:val="both"/>
        <w:rPr>
          <w:b/>
        </w:rPr>
      </w:pPr>
      <w:r>
        <w:rPr>
          <w:b/>
          <w:noProof/>
        </w:rPr>
        <w:drawing>
          <wp:anchor distT="0" distB="0" distL="114300" distR="114300" simplePos="0" relativeHeight="251660288" behindDoc="0" locked="0" layoutInCell="1" allowOverlap="1">
            <wp:simplePos x="0" y="0"/>
            <wp:positionH relativeFrom="column">
              <wp:posOffset>2051512</wp:posOffset>
            </wp:positionH>
            <wp:positionV relativeFrom="paragraph">
              <wp:posOffset>-737235</wp:posOffset>
            </wp:positionV>
            <wp:extent cx="1524000" cy="74676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 Logo Jun 17 KLEI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746760"/>
                    </a:xfrm>
                    <a:prstGeom prst="rect">
                      <a:avLst/>
                    </a:prstGeom>
                  </pic:spPr>
                </pic:pic>
              </a:graphicData>
            </a:graphic>
            <wp14:sizeRelH relativeFrom="page">
              <wp14:pctWidth>0</wp14:pctWidth>
            </wp14:sizeRelH>
            <wp14:sizeRelV relativeFrom="page">
              <wp14:pctHeight>0</wp14:pctHeight>
            </wp14:sizeRelV>
          </wp:anchor>
        </w:drawing>
      </w:r>
    </w:p>
    <w:p w:rsidR="00F4050E" w:rsidRPr="00452231" w:rsidRDefault="00F4050E" w:rsidP="00F4050E">
      <w:pPr>
        <w:jc w:val="both"/>
      </w:pPr>
      <w:r>
        <w:rPr>
          <w:b/>
        </w:rPr>
        <w:t>JAHRGANG 2019</w:t>
      </w:r>
      <w:r>
        <w:t xml:space="preserve"> - </w:t>
      </w:r>
      <w:r>
        <w:rPr>
          <w:rFonts w:ascii="FoundryMonoline-Light" w:hAnsi="FoundryMonoline-Light"/>
        </w:rPr>
        <w:t>Das Jahr 2019 – der 849. Jahrgang des klösterlichen Weingutes - hat sehr trocken begonnen mit nicht einmal 20mm Niederschlag bis Anfang Mai. Dies führt zu einem verzögerten Austrieb, wodurch auch die Gefahr von Frost gebannt ist. Der notwendige Niederschlag kommt dann im Mai und gewährleistet einen raschen Austrieb. Wenn man sich die Vegetationsperiode anschaut, ist auffällig, dass im Gegensatz zu 2018, in dem die Durschnitts- Temperaturen ansteigen, es 2019 ab Juni wieder kühler wird. Dieser Umstand hat sich positiv auf die Säurestruktur ausgewirkt. Wasser ist nicht übermäßig, aber doch ausreichend vorhanden, sodass es zu keinen Trockenstressphasen kommt. Anfang September erhalten wir ca. 70mm Regen, danach fällt bis zur letzten Oktober Woche so gut wie kein Regen mehr. Aus weinbaulicher Sicht ein perfektes Jahr.</w:t>
      </w:r>
    </w:p>
    <w:p w:rsidR="00F4050E" w:rsidRDefault="00F4050E" w:rsidP="00F4050E">
      <w:pPr>
        <w:spacing w:line="120" w:lineRule="exact"/>
        <w:jc w:val="both"/>
        <w:rPr>
          <w:rFonts w:ascii="FoundryMonoline-Light" w:hAnsi="FoundryMonoline-Light"/>
        </w:rPr>
      </w:pPr>
    </w:p>
    <w:p w:rsidR="00F4050E" w:rsidRDefault="00F4050E" w:rsidP="00F4050E">
      <w:pPr>
        <w:spacing w:line="312" w:lineRule="auto"/>
        <w:jc w:val="both"/>
        <w:rPr>
          <w:rFonts w:ascii="FoundryMonoline-Light" w:hAnsi="FoundryMonoline-Light"/>
        </w:rPr>
      </w:pPr>
      <w:r>
        <w:rPr>
          <w:rFonts w:ascii="FoundryMonoline-Light" w:hAnsi="FoundryMonoline-Light"/>
        </w:rPr>
        <w:t xml:space="preserve">Die Lese beginnt schon in der zweiten September Woche mit den Trauben für den Sekt Grundwein von </w:t>
      </w:r>
      <w:r>
        <w:rPr>
          <w:rFonts w:ascii="FoundryMonoline-Light" w:hAnsi="FoundryMonoline-Light"/>
          <w:i/>
        </w:rPr>
        <w:t>Brut Reserve,</w:t>
      </w:r>
      <w:r>
        <w:rPr>
          <w:rFonts w:ascii="FoundryMonoline-Light" w:hAnsi="FoundryMonoline-Light"/>
        </w:rPr>
        <w:t xml:space="preserve"> </w:t>
      </w:r>
      <w:r>
        <w:rPr>
          <w:rFonts w:ascii="FoundryMonoline-Light" w:hAnsi="FoundryMonoline-Light"/>
          <w:i/>
        </w:rPr>
        <w:t xml:space="preserve">Blanc de Blancs </w:t>
      </w:r>
      <w:r>
        <w:rPr>
          <w:rFonts w:ascii="FoundryMonoline-Light" w:hAnsi="FoundryMonoline-Light"/>
        </w:rPr>
        <w:t xml:space="preserve">und dem </w:t>
      </w:r>
      <w:r w:rsidRPr="00452231">
        <w:rPr>
          <w:rFonts w:ascii="FoundryMonoline-Light" w:hAnsi="FoundryMonoline-Light"/>
          <w:i/>
        </w:rPr>
        <w:t>Brut Rosé</w:t>
      </w:r>
      <w:r>
        <w:rPr>
          <w:rFonts w:ascii="FoundryMonoline-Light" w:hAnsi="FoundryMonoline-Light"/>
        </w:rPr>
        <w:t>.</w:t>
      </w:r>
      <w:r>
        <w:rPr>
          <w:rFonts w:ascii="FoundryMonoline-Light" w:hAnsi="FoundryMonoline-Light"/>
          <w:i/>
        </w:rPr>
        <w:t xml:space="preserve"> </w:t>
      </w:r>
      <w:r>
        <w:rPr>
          <w:rFonts w:ascii="FoundryMonoline-Light" w:hAnsi="FoundryMonoline-Light"/>
        </w:rPr>
        <w:t>In der vierten September Woche beginnt die Ernte der Rotwein Trauben mit anschließender Haupternte für die Gebietsweine. Mitte Oktober beginnen wir mit der Lese der Einzellagen und beschließen am 29. Oktober die Lese 2019. Langjährige Experten werden 2019 als ein typisches 9’er Jahr bezeichnen und die ersten Verkostungen werden dem Ruf auch wirklich gerecht.</w:t>
      </w:r>
    </w:p>
    <w:p w:rsidR="00F4050E" w:rsidRDefault="00F4050E" w:rsidP="00F4050E">
      <w:pPr>
        <w:spacing w:line="312" w:lineRule="auto"/>
        <w:jc w:val="both"/>
        <w:rPr>
          <w:rFonts w:ascii="FoundryMonoline-Light" w:hAnsi="FoundryMonoline-Light"/>
        </w:rPr>
      </w:pPr>
      <w:r>
        <w:rPr>
          <w:rFonts w:ascii="FoundryMonoline-Light" w:hAnsi="FoundryMonoline-Light"/>
        </w:rPr>
        <w:t>2019 wird auf jeden Fall in die Geschichte als dasjenige eingehen, in dem wir am wenigsten Selektionieren mussten. Alles war perfekt gesund.</w:t>
      </w:r>
    </w:p>
    <w:p w:rsidR="00F4050E" w:rsidRDefault="00F4050E" w:rsidP="00F4050E">
      <w:pPr>
        <w:jc w:val="both"/>
      </w:pPr>
    </w:p>
    <w:p w:rsidR="00F4050E" w:rsidRPr="00452231" w:rsidRDefault="00F4050E" w:rsidP="00F4050E">
      <w:pPr>
        <w:jc w:val="both"/>
        <w:rPr>
          <w:b/>
          <w:bCs/>
        </w:rPr>
      </w:pPr>
      <w:r w:rsidRPr="00452231">
        <w:rPr>
          <w:b/>
          <w:bCs/>
        </w:rPr>
        <w:t xml:space="preserve">            Niederschlag    </w:t>
      </w:r>
      <w:proofErr w:type="spellStart"/>
      <w:r w:rsidRPr="00452231">
        <w:rPr>
          <w:b/>
          <w:bCs/>
        </w:rPr>
        <w:t>Temp</w:t>
      </w:r>
      <w:proofErr w:type="spellEnd"/>
      <w:r w:rsidRPr="00452231">
        <w:rPr>
          <w:b/>
          <w:bCs/>
        </w:rPr>
        <w:t xml:space="preserve"> Durchschnitt    Max </w:t>
      </w:r>
      <w:proofErr w:type="spellStart"/>
      <w:r w:rsidRPr="00452231">
        <w:rPr>
          <w:b/>
          <w:bCs/>
        </w:rPr>
        <w:t>Temp</w:t>
      </w:r>
      <w:proofErr w:type="spellEnd"/>
      <w:r w:rsidRPr="00452231">
        <w:rPr>
          <w:b/>
          <w:bCs/>
        </w:rPr>
        <w:t xml:space="preserve">    Min </w:t>
      </w:r>
      <w:proofErr w:type="spellStart"/>
      <w:r w:rsidRPr="00452231">
        <w:rPr>
          <w:b/>
          <w:bCs/>
        </w:rPr>
        <w:t>Temp</w:t>
      </w:r>
      <w:proofErr w:type="spellEnd"/>
    </w:p>
    <w:p w:rsidR="00F4050E" w:rsidRDefault="00F4050E" w:rsidP="00F4050E">
      <w:pPr>
        <w:tabs>
          <w:tab w:val="decimal" w:pos="1276"/>
          <w:tab w:val="decimal" w:pos="2835"/>
          <w:tab w:val="decimal" w:pos="4395"/>
          <w:tab w:val="decimal" w:pos="5387"/>
        </w:tabs>
        <w:jc w:val="both"/>
      </w:pPr>
      <w:proofErr w:type="spellStart"/>
      <w:r>
        <w:t>Jän</w:t>
      </w:r>
      <w:proofErr w:type="spellEnd"/>
      <w:r>
        <w:tab/>
        <w:t>5</w:t>
      </w:r>
      <w:r>
        <w:tab/>
        <w:t>0</w:t>
      </w:r>
      <w:r>
        <w:tab/>
        <w:t>13</w:t>
      </w:r>
      <w:r>
        <w:tab/>
        <w:t>-10</w:t>
      </w:r>
    </w:p>
    <w:p w:rsidR="00F4050E" w:rsidRDefault="00F4050E" w:rsidP="00F4050E">
      <w:pPr>
        <w:tabs>
          <w:tab w:val="decimal" w:pos="1276"/>
          <w:tab w:val="decimal" w:pos="2835"/>
          <w:tab w:val="decimal" w:pos="4395"/>
          <w:tab w:val="decimal" w:pos="5387"/>
        </w:tabs>
        <w:jc w:val="both"/>
      </w:pPr>
      <w:r>
        <w:t>Feb</w:t>
      </w:r>
      <w:r>
        <w:tab/>
        <w:t>2,29</w:t>
      </w:r>
      <w:r>
        <w:tab/>
        <w:t>3</w:t>
      </w:r>
      <w:r>
        <w:tab/>
        <w:t>19</w:t>
      </w:r>
      <w:r>
        <w:tab/>
        <w:t>-8</w:t>
      </w:r>
    </w:p>
    <w:p w:rsidR="00F4050E" w:rsidRDefault="00F4050E" w:rsidP="00F4050E">
      <w:pPr>
        <w:tabs>
          <w:tab w:val="decimal" w:pos="1276"/>
          <w:tab w:val="decimal" w:pos="2835"/>
          <w:tab w:val="decimal" w:pos="4395"/>
          <w:tab w:val="decimal" w:pos="5387"/>
        </w:tabs>
        <w:jc w:val="both"/>
      </w:pPr>
      <w:r>
        <w:t>Mär</w:t>
      </w:r>
      <w:r>
        <w:tab/>
        <w:t>12,19</w:t>
      </w:r>
      <w:r>
        <w:tab/>
        <w:t>7</w:t>
      </w:r>
      <w:r>
        <w:tab/>
        <w:t>23</w:t>
      </w:r>
      <w:r>
        <w:tab/>
        <w:t>-3</w:t>
      </w:r>
    </w:p>
    <w:p w:rsidR="00F4050E" w:rsidRDefault="00F4050E" w:rsidP="00F4050E">
      <w:pPr>
        <w:tabs>
          <w:tab w:val="decimal" w:pos="1276"/>
          <w:tab w:val="decimal" w:pos="2835"/>
          <w:tab w:val="decimal" w:pos="4395"/>
          <w:tab w:val="decimal" w:pos="5387"/>
        </w:tabs>
        <w:jc w:val="both"/>
      </w:pPr>
      <w:r>
        <w:t>Apr</w:t>
      </w:r>
      <w:r>
        <w:tab/>
        <w:t>0</w:t>
      </w:r>
      <w:r>
        <w:tab/>
        <w:t>11,4</w:t>
      </w:r>
      <w:r>
        <w:tab/>
        <w:t>27</w:t>
      </w:r>
      <w:r>
        <w:tab/>
        <w:t>-0,1</w:t>
      </w:r>
    </w:p>
    <w:p w:rsidR="00F4050E" w:rsidRDefault="00F4050E" w:rsidP="00F4050E">
      <w:pPr>
        <w:tabs>
          <w:tab w:val="decimal" w:pos="1276"/>
          <w:tab w:val="decimal" w:pos="2835"/>
          <w:tab w:val="decimal" w:pos="4395"/>
          <w:tab w:val="decimal" w:pos="5387"/>
        </w:tabs>
        <w:jc w:val="both"/>
      </w:pPr>
      <w:r>
        <w:t>Mai</w:t>
      </w:r>
      <w:r>
        <w:tab/>
        <w:t>108</w:t>
      </w:r>
      <w:r>
        <w:tab/>
        <w:t>12,8</w:t>
      </w:r>
      <w:r>
        <w:tab/>
        <w:t>25,8</w:t>
      </w:r>
      <w:r>
        <w:tab/>
        <w:t>0,8</w:t>
      </w:r>
    </w:p>
    <w:p w:rsidR="00F4050E" w:rsidRPr="002A645F" w:rsidRDefault="00F4050E" w:rsidP="00F4050E">
      <w:pPr>
        <w:tabs>
          <w:tab w:val="decimal" w:pos="1276"/>
          <w:tab w:val="decimal" w:pos="2835"/>
          <w:tab w:val="decimal" w:pos="4395"/>
          <w:tab w:val="decimal" w:pos="5387"/>
        </w:tabs>
        <w:jc w:val="both"/>
        <w:rPr>
          <w:lang w:val="en-GB"/>
        </w:rPr>
      </w:pPr>
      <w:proofErr w:type="spellStart"/>
      <w:r w:rsidRPr="002A645F">
        <w:rPr>
          <w:lang w:val="en-GB"/>
        </w:rPr>
        <w:t>Juni</w:t>
      </w:r>
      <w:proofErr w:type="spellEnd"/>
      <w:r>
        <w:rPr>
          <w:lang w:val="en-GB"/>
        </w:rPr>
        <w:tab/>
      </w:r>
      <w:r w:rsidRPr="002A645F">
        <w:rPr>
          <w:lang w:val="en-GB"/>
        </w:rPr>
        <w:t>30</w:t>
      </w:r>
      <w:r>
        <w:rPr>
          <w:lang w:val="en-GB"/>
        </w:rPr>
        <w:tab/>
      </w:r>
      <w:r w:rsidRPr="002A645F">
        <w:rPr>
          <w:lang w:val="en-GB"/>
        </w:rPr>
        <w:t>23,3</w:t>
      </w:r>
      <w:r>
        <w:rPr>
          <w:lang w:val="en-GB"/>
        </w:rPr>
        <w:tab/>
      </w:r>
      <w:r w:rsidRPr="002A645F">
        <w:rPr>
          <w:lang w:val="en-GB"/>
        </w:rPr>
        <w:t>37</w:t>
      </w:r>
      <w:r>
        <w:rPr>
          <w:lang w:val="en-GB"/>
        </w:rPr>
        <w:tab/>
      </w:r>
      <w:r w:rsidRPr="002A645F">
        <w:rPr>
          <w:lang w:val="en-GB"/>
        </w:rPr>
        <w:t>12,2</w:t>
      </w:r>
    </w:p>
    <w:p w:rsidR="00F4050E" w:rsidRPr="002A645F" w:rsidRDefault="00F4050E" w:rsidP="00F4050E">
      <w:pPr>
        <w:tabs>
          <w:tab w:val="decimal" w:pos="1276"/>
          <w:tab w:val="decimal" w:pos="2835"/>
          <w:tab w:val="decimal" w:pos="4395"/>
          <w:tab w:val="decimal" w:pos="5387"/>
        </w:tabs>
        <w:jc w:val="both"/>
        <w:rPr>
          <w:lang w:val="en-GB"/>
        </w:rPr>
      </w:pPr>
      <w:r w:rsidRPr="002A645F">
        <w:rPr>
          <w:lang w:val="en-GB"/>
        </w:rPr>
        <w:t>July</w:t>
      </w:r>
      <w:r>
        <w:rPr>
          <w:lang w:val="en-GB"/>
        </w:rPr>
        <w:tab/>
      </w:r>
      <w:r w:rsidRPr="002A645F">
        <w:rPr>
          <w:lang w:val="en-GB"/>
        </w:rPr>
        <w:t>41,4</w:t>
      </w:r>
      <w:r>
        <w:rPr>
          <w:lang w:val="en-GB"/>
        </w:rPr>
        <w:tab/>
      </w:r>
      <w:r w:rsidRPr="002A645F">
        <w:rPr>
          <w:lang w:val="en-GB"/>
        </w:rPr>
        <w:t>22</w:t>
      </w:r>
      <w:r>
        <w:rPr>
          <w:lang w:val="en-GB"/>
        </w:rPr>
        <w:tab/>
      </w:r>
      <w:r w:rsidRPr="002A645F">
        <w:rPr>
          <w:lang w:val="en-GB"/>
        </w:rPr>
        <w:t>39,8</w:t>
      </w:r>
      <w:r>
        <w:rPr>
          <w:lang w:val="en-GB"/>
        </w:rPr>
        <w:tab/>
      </w:r>
      <w:r w:rsidRPr="002A645F">
        <w:rPr>
          <w:lang w:val="en-GB"/>
        </w:rPr>
        <w:t>9,4</w:t>
      </w:r>
    </w:p>
    <w:p w:rsidR="00F4050E" w:rsidRPr="002A645F" w:rsidRDefault="00F4050E" w:rsidP="00F4050E">
      <w:pPr>
        <w:tabs>
          <w:tab w:val="decimal" w:pos="1276"/>
          <w:tab w:val="decimal" w:pos="2835"/>
          <w:tab w:val="decimal" w:pos="4395"/>
          <w:tab w:val="decimal" w:pos="5387"/>
        </w:tabs>
        <w:jc w:val="both"/>
        <w:rPr>
          <w:lang w:val="en-GB"/>
        </w:rPr>
      </w:pPr>
      <w:r w:rsidRPr="002A645F">
        <w:rPr>
          <w:lang w:val="en-GB"/>
        </w:rPr>
        <w:t>Aug</w:t>
      </w:r>
      <w:r>
        <w:rPr>
          <w:lang w:val="en-GB"/>
        </w:rPr>
        <w:tab/>
      </w:r>
      <w:r w:rsidRPr="002A645F">
        <w:rPr>
          <w:lang w:val="en-GB"/>
        </w:rPr>
        <w:t>42,67</w:t>
      </w:r>
      <w:r>
        <w:rPr>
          <w:lang w:val="en-GB"/>
        </w:rPr>
        <w:tab/>
      </w:r>
      <w:r w:rsidRPr="002A645F">
        <w:rPr>
          <w:lang w:val="en-GB"/>
        </w:rPr>
        <w:t>21,5</w:t>
      </w:r>
      <w:r>
        <w:rPr>
          <w:lang w:val="en-GB"/>
        </w:rPr>
        <w:tab/>
      </w:r>
      <w:r w:rsidRPr="002A645F">
        <w:rPr>
          <w:lang w:val="en-GB"/>
        </w:rPr>
        <w:t>36,8</w:t>
      </w:r>
      <w:r>
        <w:rPr>
          <w:lang w:val="en-GB"/>
        </w:rPr>
        <w:tab/>
      </w:r>
      <w:r w:rsidRPr="002A645F">
        <w:rPr>
          <w:lang w:val="en-GB"/>
        </w:rPr>
        <w:t>9,6</w:t>
      </w:r>
    </w:p>
    <w:p w:rsidR="00F4050E" w:rsidRPr="002A645F" w:rsidRDefault="00F4050E" w:rsidP="00F4050E">
      <w:pPr>
        <w:tabs>
          <w:tab w:val="decimal" w:pos="1276"/>
          <w:tab w:val="decimal" w:pos="2835"/>
          <w:tab w:val="decimal" w:pos="4395"/>
          <w:tab w:val="decimal" w:pos="5387"/>
        </w:tabs>
        <w:jc w:val="both"/>
        <w:rPr>
          <w:lang w:val="en-GB"/>
        </w:rPr>
      </w:pPr>
      <w:r w:rsidRPr="002A645F">
        <w:rPr>
          <w:lang w:val="en-GB"/>
        </w:rPr>
        <w:t>Sep</w:t>
      </w:r>
      <w:r>
        <w:rPr>
          <w:lang w:val="en-GB"/>
        </w:rPr>
        <w:tab/>
      </w:r>
      <w:r w:rsidRPr="002A645F">
        <w:rPr>
          <w:lang w:val="en-GB"/>
        </w:rPr>
        <w:t>80</w:t>
      </w:r>
      <w:r>
        <w:rPr>
          <w:lang w:val="en-GB"/>
        </w:rPr>
        <w:tab/>
      </w:r>
      <w:r w:rsidRPr="002A645F">
        <w:rPr>
          <w:lang w:val="en-GB"/>
        </w:rPr>
        <w:t>16,1</w:t>
      </w:r>
      <w:r>
        <w:rPr>
          <w:lang w:val="en-GB"/>
        </w:rPr>
        <w:tab/>
      </w:r>
      <w:r w:rsidRPr="002A645F">
        <w:rPr>
          <w:lang w:val="en-GB"/>
        </w:rPr>
        <w:t>29</w:t>
      </w:r>
      <w:r>
        <w:rPr>
          <w:lang w:val="en-GB"/>
        </w:rPr>
        <w:tab/>
      </w:r>
      <w:r w:rsidRPr="002A645F">
        <w:rPr>
          <w:lang w:val="en-GB"/>
        </w:rPr>
        <w:t>2,6</w:t>
      </w:r>
    </w:p>
    <w:p w:rsidR="00F4050E" w:rsidRPr="002A645F" w:rsidRDefault="00F4050E" w:rsidP="00F4050E">
      <w:pPr>
        <w:tabs>
          <w:tab w:val="decimal" w:pos="1276"/>
          <w:tab w:val="decimal" w:pos="2835"/>
          <w:tab w:val="decimal" w:pos="4395"/>
          <w:tab w:val="decimal" w:pos="5387"/>
        </w:tabs>
        <w:jc w:val="both"/>
        <w:rPr>
          <w:lang w:val="en-GB"/>
        </w:rPr>
      </w:pPr>
      <w:proofErr w:type="spellStart"/>
      <w:r w:rsidRPr="002A645F">
        <w:rPr>
          <w:lang w:val="en-GB"/>
        </w:rPr>
        <w:t>Okt</w:t>
      </w:r>
      <w:proofErr w:type="spellEnd"/>
      <w:r>
        <w:rPr>
          <w:lang w:val="en-GB"/>
        </w:rPr>
        <w:tab/>
      </w:r>
      <w:r w:rsidRPr="002A645F">
        <w:rPr>
          <w:lang w:val="en-GB"/>
        </w:rPr>
        <w:t>26,4</w:t>
      </w:r>
      <w:r>
        <w:rPr>
          <w:lang w:val="en-GB"/>
        </w:rPr>
        <w:tab/>
      </w:r>
      <w:r w:rsidRPr="002A645F">
        <w:rPr>
          <w:lang w:val="en-GB"/>
        </w:rPr>
        <w:t>10,9</w:t>
      </w:r>
      <w:r>
        <w:rPr>
          <w:lang w:val="en-GB"/>
        </w:rPr>
        <w:tab/>
      </w:r>
      <w:r w:rsidRPr="002A645F">
        <w:rPr>
          <w:lang w:val="en-GB"/>
        </w:rPr>
        <w:t>26</w:t>
      </w:r>
      <w:r>
        <w:rPr>
          <w:lang w:val="en-GB"/>
        </w:rPr>
        <w:tab/>
      </w:r>
      <w:r w:rsidRPr="002A645F">
        <w:rPr>
          <w:lang w:val="en-GB"/>
        </w:rPr>
        <w:t>-1</w:t>
      </w:r>
    </w:p>
    <w:p w:rsidR="00F4050E" w:rsidRPr="00E53C8C" w:rsidRDefault="00F4050E" w:rsidP="00F4050E">
      <w:pPr>
        <w:jc w:val="both"/>
        <w:rPr>
          <w:lang w:val="en-GB"/>
        </w:rPr>
      </w:pPr>
    </w:p>
    <w:p w:rsidR="00E6068C" w:rsidRDefault="00F4050E" w:rsidP="00F4050E">
      <w:pPr>
        <w:jc w:val="both"/>
        <w:rPr>
          <w:b/>
        </w:rPr>
      </w:pPr>
      <w:r w:rsidRPr="00493BC8">
        <w:rPr>
          <w:b/>
          <w:noProof/>
        </w:rPr>
        <mc:AlternateContent>
          <mc:Choice Requires="wps">
            <w:drawing>
              <wp:anchor distT="45720" distB="45720" distL="114300" distR="114300" simplePos="0" relativeHeight="251662336" behindDoc="0" locked="0" layoutInCell="1" allowOverlap="1" wp14:anchorId="036CCF0D" wp14:editId="004FCA4B">
                <wp:simplePos x="0" y="0"/>
                <wp:positionH relativeFrom="column">
                  <wp:posOffset>3753678</wp:posOffset>
                </wp:positionH>
                <wp:positionV relativeFrom="paragraph">
                  <wp:posOffset>366174</wp:posOffset>
                </wp:positionV>
                <wp:extent cx="691763" cy="1404620"/>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 cy="1404620"/>
                        </a:xfrm>
                        <a:prstGeom prst="rect">
                          <a:avLst/>
                        </a:prstGeom>
                        <a:solidFill>
                          <a:srgbClr val="FFFFFF"/>
                        </a:solidFill>
                        <a:ln w="9525">
                          <a:noFill/>
                          <a:miter lim="800000"/>
                          <a:headEnd/>
                          <a:tailEnd/>
                        </a:ln>
                      </wps:spPr>
                      <wps:txbx>
                        <w:txbxContent>
                          <w:p w:rsidR="00F4050E" w:rsidRPr="00493BC8" w:rsidRDefault="00F4050E" w:rsidP="00F4050E">
                            <w:pPr>
                              <w:rPr>
                                <w:sz w:val="16"/>
                                <w:szCs w:val="16"/>
                              </w:rPr>
                            </w:pPr>
                            <w:r w:rsidRPr="00493BC8">
                              <w:rPr>
                                <w:sz w:val="16"/>
                                <w:szCs w:val="16"/>
                              </w:rPr>
                              <w:t>47</w:t>
                            </w:r>
                            <w:r>
                              <w:rPr>
                                <w:sz w:val="16"/>
                                <w:szCs w:val="16"/>
                              </w:rPr>
                              <w:t xml:space="preserve"> </w:t>
                            </w:r>
                            <w:r w:rsidRPr="00493BC8">
                              <w:rPr>
                                <w:sz w:val="16"/>
                                <w:szCs w:val="16"/>
                              </w:rPr>
                              <w:t>hl/ha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CCF0D" id="_x0000_t202" coordsize="21600,21600" o:spt="202" path="m,l,21600r21600,l21600,xe">
                <v:stroke joinstyle="miter"/>
                <v:path gradientshapeok="t" o:connecttype="rect"/>
              </v:shapetype>
              <v:shape id="Textfeld 2" o:spid="_x0000_s1026" type="#_x0000_t202" style="position:absolute;left:0;text-align:left;margin-left:295.55pt;margin-top:28.85pt;width:54.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" stroked="f">
                <v:textbox style="mso-fit-shape-to-text:t">
                  <w:txbxContent>
                    <w:p w:rsidR="00F4050E" w:rsidRPr="00493BC8" w:rsidRDefault="00F4050E" w:rsidP="00F4050E">
                      <w:pPr>
                        <w:rPr>
                          <w:sz w:val="16"/>
                          <w:szCs w:val="16"/>
                        </w:rPr>
                      </w:pPr>
                      <w:r w:rsidRPr="00493BC8">
                        <w:rPr>
                          <w:sz w:val="16"/>
                          <w:szCs w:val="16"/>
                        </w:rPr>
                        <w:t>47</w:t>
                      </w:r>
                      <w:r>
                        <w:rPr>
                          <w:sz w:val="16"/>
                          <w:szCs w:val="16"/>
                        </w:rPr>
                        <w:t xml:space="preserve"> </w:t>
                      </w:r>
                      <w:r w:rsidRPr="00493BC8">
                        <w:rPr>
                          <w:sz w:val="16"/>
                          <w:szCs w:val="16"/>
                        </w:rPr>
                        <w:t>hl/ha</w:t>
                      </w:r>
                    </w:p>
                  </w:txbxContent>
                </v:textbox>
              </v:shape>
            </w:pict>
          </mc:Fallback>
        </mc:AlternateContent>
      </w:r>
      <w:r w:rsidRPr="00E53C8C">
        <w:rPr>
          <w:noProof/>
        </w:rPr>
        <w:drawing>
          <wp:inline distT="0" distB="0" distL="0" distR="0" wp14:anchorId="101044F0" wp14:editId="5B316CAD">
            <wp:extent cx="4373217" cy="3275264"/>
            <wp:effectExtent l="0" t="0" r="889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46661" cy="3330269"/>
                    </a:xfrm>
                    <a:prstGeom prst="rect">
                      <a:avLst/>
                    </a:prstGeom>
                  </pic:spPr>
                </pic:pic>
              </a:graphicData>
            </a:graphic>
          </wp:inline>
        </w:drawing>
      </w:r>
    </w:p>
    <w:sectPr w:rsidR="00E606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Monoline-Regular">
    <w:altName w:val="Malgun Gothic"/>
    <w:panose1 w:val="02000503000000020004"/>
    <w:charset w:val="00"/>
    <w:family w:val="auto"/>
    <w:pitch w:val="variable"/>
    <w:sig w:usb0="80000027" w:usb1="00000040" w:usb2="00000000" w:usb3="00000000" w:csb0="00000001" w:csb1="00000000"/>
  </w:font>
  <w:font w:name="FoundryMonoline-Light">
    <w:panose1 w:val="0200050300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68C"/>
    <w:rsid w:val="007E6520"/>
    <w:rsid w:val="00E6068C"/>
    <w:rsid w:val="00F4050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96AA"/>
  <w15:chartTrackingRefBased/>
  <w15:docId w15:val="{9FF27C00-4BD6-4F28-8AE9-7BCF1CD1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068C"/>
    <w:pPr>
      <w:spacing w:after="0" w:line="300" w:lineRule="auto"/>
      <w:outlineLvl w:val="0"/>
    </w:pPr>
    <w:rPr>
      <w:rFonts w:ascii="FoundryMonoline-Regular" w:eastAsia="Times New Roman" w:hAnsi="FoundryMonoline-Regular"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Ilkerl Lisa</dc:creator>
  <cp:keywords/>
  <dc:description/>
  <cp:lastModifiedBy>Ilkerl Lisa</cp:lastModifiedBy>
  <cp:revision>2</cp:revision>
  <dcterms:created xsi:type="dcterms:W3CDTF">2020-05-09T11:29:00Z</dcterms:created>
  <dcterms:modified xsi:type="dcterms:W3CDTF">2020-05-09T11:29:00Z</dcterms:modified>
</cp:coreProperties>
</file>